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jc w:val="center"/>
        <w:rPr>
          <w:rFonts w:hint="eastAsia" w:ascii="创艺简标宋" w:hAnsi="创艺简标宋" w:eastAsia="创艺简标宋" w:cs="创艺简标宋"/>
          <w:sz w:val="43"/>
          <w:szCs w:val="43"/>
        </w:rPr>
      </w:pPr>
    </w:p>
    <w:p>
      <w:pPr>
        <w:pStyle w:val="3"/>
        <w:widowControl/>
        <w:spacing w:line="560" w:lineRule="exact"/>
        <w:jc w:val="center"/>
        <w:rPr>
          <w:rFonts w:hint="eastAsia" w:ascii="创艺简标宋" w:hAnsi="创艺简标宋" w:eastAsia="创艺简标宋" w:cs="创艺简标宋"/>
          <w:sz w:val="43"/>
          <w:szCs w:val="43"/>
        </w:rPr>
      </w:pPr>
      <w:r>
        <w:rPr>
          <w:rFonts w:hint="eastAsia" w:ascii="创艺简标宋" w:hAnsi="创艺简标宋" w:eastAsia="创艺简标宋" w:cs="创艺简标宋"/>
          <w:sz w:val="43"/>
          <w:szCs w:val="43"/>
        </w:rPr>
        <w:t>2022年威海市市直高中心理健康教育</w:t>
      </w:r>
    </w:p>
    <w:p>
      <w:pPr>
        <w:pStyle w:val="3"/>
        <w:widowControl/>
        <w:spacing w:line="560" w:lineRule="exact"/>
        <w:jc w:val="center"/>
        <w:rPr>
          <w:rFonts w:hint="default"/>
        </w:rPr>
      </w:pPr>
      <w:r>
        <w:rPr>
          <w:rFonts w:hint="eastAsia" w:ascii="创艺简标宋" w:hAnsi="创艺简标宋" w:eastAsia="创艺简标宋" w:cs="创艺简标宋"/>
          <w:sz w:val="43"/>
          <w:szCs w:val="43"/>
        </w:rPr>
        <w:t>优质课评选结果公示</w:t>
      </w:r>
    </w:p>
    <w:p>
      <w:pPr>
        <w:pStyle w:val="3"/>
        <w:widowControl/>
        <w:spacing w:line="600" w:lineRule="atLeast"/>
        <w:ind w:firstLine="620" w:firstLineChars="200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3"/>
        <w:widowControl/>
        <w:spacing w:line="560" w:lineRule="exact"/>
        <w:jc w:val="left"/>
        <w:rPr>
          <w:rFonts w:hint="default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根据市教研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年市直高中教研工作安排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《威海市普通中小学特殊教育学校幼儿园优质课、优课、微课评选管理办法》（威教研中心〔2019〕7 号）</w:t>
      </w:r>
      <w:r>
        <w:rPr>
          <w:rFonts w:ascii="仿宋_GB2312" w:eastAsia="仿宋_GB2312" w:cs="仿宋_GB2312"/>
          <w:sz w:val="31"/>
          <w:szCs w:val="31"/>
        </w:rPr>
        <w:t>，202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</w:t>
      </w:r>
      <w:r>
        <w:rPr>
          <w:rFonts w:hint="eastAsia" w:ascii="仿宋_GB2312" w:eastAsia="仿宋_GB2312" w:cs="仿宋_GB2312"/>
          <w:sz w:val="31"/>
          <w:szCs w:val="31"/>
        </w:rPr>
        <w:t>市直高中心理健康教育</w:t>
      </w:r>
      <w:r>
        <w:rPr>
          <w:rFonts w:ascii="仿宋_GB2312" w:eastAsia="仿宋_GB2312" w:cs="仿宋_GB2312"/>
          <w:sz w:val="31"/>
          <w:szCs w:val="31"/>
        </w:rPr>
        <w:t>优质课</w:t>
      </w:r>
      <w:r>
        <w:rPr>
          <w:rFonts w:hint="default" w:ascii="仿宋_GB2312" w:eastAsia="仿宋_GB2312" w:cs="仿宋_GB2312"/>
          <w:sz w:val="31"/>
          <w:szCs w:val="31"/>
        </w:rPr>
        <w:t>评选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于9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27</w:t>
      </w:r>
      <w:r>
        <w:rPr>
          <w:rFonts w:ascii="仿宋_GB2312" w:eastAsia="仿宋_GB2312" w:cs="仿宋_GB2312"/>
          <w:sz w:val="31"/>
          <w:szCs w:val="31"/>
        </w:rPr>
        <w:t>日在威海市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第二</w:t>
      </w:r>
      <w:r>
        <w:rPr>
          <w:rFonts w:ascii="仿宋_GB2312" w:eastAsia="仿宋_GB2312" w:cs="仿宋_GB2312"/>
          <w:sz w:val="31"/>
          <w:szCs w:val="31"/>
        </w:rPr>
        <w:t>中学顺利举行，共有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6</w:t>
      </w:r>
      <w:r>
        <w:rPr>
          <w:rFonts w:ascii="仿宋_GB2312" w:eastAsia="仿宋_GB2312" w:cs="仿宋_GB2312"/>
          <w:sz w:val="31"/>
          <w:szCs w:val="31"/>
        </w:rPr>
        <w:t>名选手参加评选。经过评委会认真公正的组织评选，共评选出市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直</w:t>
      </w:r>
      <w:r>
        <w:rPr>
          <w:rFonts w:ascii="仿宋_GB2312" w:eastAsia="仿宋_GB2312" w:cs="仿宋_GB2312"/>
          <w:sz w:val="31"/>
          <w:szCs w:val="31"/>
        </w:rPr>
        <w:t>优质课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6</w:t>
      </w:r>
      <w:r>
        <w:rPr>
          <w:rFonts w:ascii="仿宋_GB2312" w:eastAsia="仿宋_GB2312" w:cs="仿宋_GB2312"/>
          <w:sz w:val="31"/>
          <w:szCs w:val="31"/>
        </w:rPr>
        <w:t>节。现将结果予以公示（名单见附件），公示期为202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9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28</w:t>
      </w:r>
      <w:r>
        <w:rPr>
          <w:rFonts w:ascii="仿宋_GB2312" w:eastAsia="仿宋_GB2312" w:cs="仿宋_GB2312"/>
          <w:sz w:val="31"/>
          <w:szCs w:val="31"/>
        </w:rPr>
        <w:t>日至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30</w:t>
      </w:r>
      <w:r>
        <w:rPr>
          <w:rFonts w:ascii="仿宋_GB2312" w:eastAsia="仿宋_GB2312" w:cs="仿宋_GB2312"/>
          <w:sz w:val="31"/>
          <w:szCs w:val="31"/>
        </w:rPr>
        <w:t>日。　</w:t>
      </w:r>
    </w:p>
    <w:p>
      <w:pPr>
        <w:pStyle w:val="3"/>
        <w:widowControl/>
        <w:shd w:val="clear" w:color="auto" w:fill="FFFFFF"/>
        <w:spacing w:line="600" w:lineRule="atLeast"/>
        <w:ind w:firstLine="645"/>
        <w:jc w:val="left"/>
        <w:rPr>
          <w:rFonts w:hint="default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如对公示有异议，可以电话或书面形式向威海市教育教学研究</w:t>
      </w:r>
      <w:r>
        <w:rPr>
          <w:rFonts w:hint="eastAsia" w:ascii="仿宋_GB2312" w:eastAsia="仿宋_GB2312" w:cs="仿宋_GB2312"/>
          <w:sz w:val="31"/>
          <w:szCs w:val="31"/>
          <w:shd w:val="clear" w:color="auto" w:fill="FFFFFF"/>
          <w:lang w:val="en-US" w:eastAsia="zh-CN"/>
        </w:rPr>
        <w:t>院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反映。</w:t>
      </w:r>
    </w:p>
    <w:p>
      <w:pPr>
        <w:pStyle w:val="3"/>
        <w:widowControl/>
        <w:shd w:val="clear" w:color="auto" w:fill="FFFFFF"/>
        <w:spacing w:line="600" w:lineRule="atLeast"/>
        <w:ind w:firstLine="645"/>
        <w:rPr>
          <w:rFonts w:hint="default" w:eastAsia="仿宋_GB2312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联系电话：0631-5801587。</w:t>
      </w:r>
    </w:p>
    <w:p>
      <w:pPr>
        <w:pStyle w:val="3"/>
        <w:widowControl/>
        <w:shd w:val="clear" w:color="auto" w:fill="FFFFFF"/>
        <w:spacing w:line="600" w:lineRule="atLeast"/>
        <w:ind w:firstLine="645"/>
        <w:rPr>
          <w:rFonts w:hint="default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line="600" w:lineRule="atLeast"/>
        <w:ind w:firstLine="645"/>
        <w:rPr>
          <w:rFonts w:hint="default"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附件：</w:t>
      </w:r>
    </w:p>
    <w:p>
      <w:pPr>
        <w:pStyle w:val="3"/>
        <w:widowControl/>
        <w:shd w:val="clear" w:color="auto" w:fill="FFFFFF"/>
        <w:spacing w:line="600" w:lineRule="atLeast"/>
        <w:ind w:left="645"/>
        <w:rPr>
          <w:rFonts w:hint="default"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</w:rPr>
        <w:t>威海市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市直高中</w:t>
      </w:r>
      <w:r>
        <w:rPr>
          <w:rFonts w:ascii="仿宋_GB2312" w:eastAsia="仿宋_GB2312" w:cs="仿宋_GB2312"/>
          <w:sz w:val="31"/>
          <w:szCs w:val="31"/>
        </w:rPr>
        <w:t>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心理健康教育</w:t>
      </w:r>
      <w:r>
        <w:rPr>
          <w:rFonts w:ascii="仿宋_GB2312" w:eastAsia="仿宋_GB2312" w:cs="仿宋_GB2312"/>
          <w:sz w:val="31"/>
          <w:szCs w:val="31"/>
        </w:rPr>
        <w:t>优质课</w:t>
      </w:r>
      <w:r>
        <w:rPr>
          <w:rFonts w:hint="default" w:ascii="仿宋_GB2312" w:eastAsia="仿宋_GB2312" w:cs="仿宋_GB2312"/>
          <w:sz w:val="31"/>
          <w:szCs w:val="31"/>
        </w:rPr>
        <w:t>评选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获奖名单</w:t>
      </w:r>
    </w:p>
    <w:p>
      <w:pPr>
        <w:pStyle w:val="3"/>
        <w:widowControl/>
        <w:spacing w:line="600" w:lineRule="atLeast"/>
        <w:ind w:firstLine="4155"/>
        <w:rPr>
          <w:rFonts w:hint="default"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 </w:t>
      </w:r>
    </w:p>
    <w:p>
      <w:pPr>
        <w:pStyle w:val="3"/>
        <w:widowControl/>
        <w:spacing w:line="600" w:lineRule="atLeast"/>
        <w:jc w:val="right"/>
        <w:rPr>
          <w:rFonts w:ascii="仿宋_GB2312" w:eastAsia="仿宋_GB2312" w:cs="仿宋_GB2312"/>
          <w:sz w:val="31"/>
          <w:szCs w:val="31"/>
        </w:rPr>
      </w:pPr>
    </w:p>
    <w:p>
      <w:pPr>
        <w:pStyle w:val="3"/>
        <w:widowControl/>
        <w:spacing w:line="600" w:lineRule="atLeast"/>
        <w:jc w:val="right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ascii="仿宋_GB2312" w:eastAsia="仿宋_GB2312" w:cs="仿宋_GB2312"/>
          <w:sz w:val="31"/>
          <w:szCs w:val="31"/>
        </w:rPr>
        <w:t>威海市教育教学研究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院</w:t>
      </w:r>
    </w:p>
    <w:p>
      <w:pPr>
        <w:pStyle w:val="3"/>
        <w:widowControl/>
        <w:wordWrap w:val="0"/>
        <w:spacing w:line="600" w:lineRule="atLeast"/>
        <w:jc w:val="right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ascii="仿宋_GB2312" w:eastAsia="仿宋_GB2312" w:cs="仿宋_GB2312"/>
          <w:sz w:val="31"/>
          <w:szCs w:val="31"/>
        </w:rPr>
        <w:t> 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9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28</w:t>
      </w:r>
      <w:r>
        <w:rPr>
          <w:rFonts w:ascii="仿宋_GB2312" w:eastAsia="仿宋_GB2312" w:cs="仿宋_GB2312"/>
          <w:sz w:val="31"/>
          <w:szCs w:val="31"/>
        </w:rPr>
        <w:t>日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br w:type="page"/>
      </w:r>
    </w:p>
    <w:p>
      <w:pPr>
        <w:jc w:val="left"/>
        <w:rPr>
          <w:rFonts w:ascii="仿宋_GB2312" w:eastAsia="仿宋_GB2312" w:cs="仿宋_GB2312"/>
          <w:b/>
          <w:bCs/>
          <w:sz w:val="31"/>
          <w:szCs w:val="31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附件：</w:t>
      </w:r>
    </w:p>
    <w:p>
      <w:pPr>
        <w:jc w:val="center"/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  <w:t>威海市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  <w:lang w:val="en-US" w:eastAsia="zh-CN"/>
        </w:rPr>
        <w:t>市直高中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  <w:t>年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  <w:lang w:val="en-US" w:eastAsia="zh-CN"/>
        </w:rPr>
        <w:t>心理健康教育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  <w:t>优质课</w:t>
      </w:r>
      <w:r>
        <w:rPr>
          <w:rFonts w:hint="default" w:ascii="仿宋_GB2312" w:eastAsia="仿宋_GB2312" w:cs="仿宋_GB2312"/>
          <w:b/>
          <w:bCs/>
          <w:sz w:val="31"/>
          <w:szCs w:val="31"/>
          <w:shd w:val="clear" w:color="auto" w:fill="FFFFFF"/>
        </w:rPr>
        <w:t>评选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  <w:t>获奖名单</w:t>
      </w:r>
    </w:p>
    <w:tbl>
      <w:tblPr>
        <w:tblStyle w:val="4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87"/>
        <w:gridCol w:w="2535"/>
        <w:gridCol w:w="3285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序</w:t>
            </w:r>
          </w:p>
        </w:tc>
        <w:tc>
          <w:tcPr>
            <w:tcW w:w="1087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253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328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课题题目</w:t>
            </w:r>
          </w:p>
        </w:tc>
        <w:tc>
          <w:tcPr>
            <w:tcW w:w="1008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王颖</w:t>
            </w:r>
          </w:p>
        </w:tc>
        <w:tc>
          <w:tcPr>
            <w:tcW w:w="253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威海市第二中学</w:t>
            </w:r>
          </w:p>
        </w:tc>
        <w:tc>
          <w:tcPr>
            <w:tcW w:w="328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预见方能遇见——目标的设定与达成</w:t>
            </w:r>
          </w:p>
        </w:tc>
        <w:tc>
          <w:tcPr>
            <w:tcW w:w="1008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邹佳颖</w:t>
            </w:r>
          </w:p>
        </w:tc>
        <w:tc>
          <w:tcPr>
            <w:tcW w:w="253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威海市第一中学</w:t>
            </w:r>
          </w:p>
        </w:tc>
        <w:tc>
          <w:tcPr>
            <w:tcW w:w="328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沉浸式体验“彩虹人生”</w:t>
            </w:r>
          </w:p>
        </w:tc>
        <w:tc>
          <w:tcPr>
            <w:tcW w:w="1008" w:type="dxa"/>
            <w:noWrap/>
            <w:vAlign w:val="center"/>
          </w:tcPr>
          <w:p>
            <w:pPr>
              <w:jc w:val="both"/>
            </w:pPr>
            <w:r>
              <w:rPr>
                <w:rFonts w:ascii="仿宋_GB2312" w:hAnsi="仿宋_GB2312" w:eastAsia="仿宋_GB2312" w:cs="仿宋_GB2312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都平</w:t>
            </w:r>
          </w:p>
        </w:tc>
        <w:tc>
          <w:tcPr>
            <w:tcW w:w="2535" w:type="dxa"/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威海市第三中学</w:t>
            </w:r>
          </w:p>
        </w:tc>
        <w:tc>
          <w:tcPr>
            <w:tcW w:w="3285" w:type="dxa"/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做情绪的舵手</w:t>
            </w:r>
          </w:p>
        </w:tc>
        <w:tc>
          <w:tcPr>
            <w:tcW w:w="1008" w:type="dxa"/>
            <w:noWrap/>
            <w:vAlign w:val="center"/>
          </w:tcPr>
          <w:p>
            <w:pPr>
              <w:jc w:val="both"/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noWrap/>
            <w:vAlign w:val="center"/>
          </w:tcPr>
          <w:p>
            <w:pPr>
              <w:pStyle w:val="1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宁雯</w:t>
            </w:r>
          </w:p>
        </w:tc>
        <w:tc>
          <w:tcPr>
            <w:tcW w:w="2535" w:type="dxa"/>
            <w:noWrap/>
            <w:vAlign w:val="center"/>
          </w:tcPr>
          <w:p>
            <w:pPr>
              <w:pStyle w:val="1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威海市第四中学</w:t>
            </w:r>
          </w:p>
        </w:tc>
        <w:tc>
          <w:tcPr>
            <w:tcW w:w="3285" w:type="dxa"/>
            <w:noWrap/>
            <w:vAlign w:val="center"/>
          </w:tcPr>
          <w:p>
            <w:pPr>
              <w:pStyle w:val="1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点亮我的优势之光</w:t>
            </w:r>
          </w:p>
        </w:tc>
        <w:tc>
          <w:tcPr>
            <w:tcW w:w="1008" w:type="dxa"/>
            <w:noWrap/>
            <w:vAlign w:val="center"/>
          </w:tcPr>
          <w:p>
            <w:pPr>
              <w:jc w:val="both"/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孙静</w:t>
            </w:r>
          </w:p>
        </w:tc>
        <w:tc>
          <w:tcPr>
            <w:tcW w:w="253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威海市实验高级中学</w:t>
            </w:r>
          </w:p>
        </w:tc>
        <w:tc>
          <w:tcPr>
            <w:tcW w:w="328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点亮不一样的“烟火”</w:t>
            </w:r>
          </w:p>
        </w:tc>
        <w:tc>
          <w:tcPr>
            <w:tcW w:w="1008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7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丁建方</w:t>
            </w:r>
          </w:p>
        </w:tc>
        <w:tc>
          <w:tcPr>
            <w:tcW w:w="253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威海大光华学校</w:t>
            </w:r>
          </w:p>
        </w:tc>
        <w:tc>
          <w:tcPr>
            <w:tcW w:w="3285" w:type="dxa"/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学会选择，学会放弃</w:t>
            </w:r>
          </w:p>
        </w:tc>
        <w:tc>
          <w:tcPr>
            <w:tcW w:w="1008" w:type="dxa"/>
            <w:noWrap/>
            <w:vAlign w:val="center"/>
          </w:tcPr>
          <w:p>
            <w:pPr>
              <w:jc w:val="both"/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三等奖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Q3ZjdlYThjM2MyNGJhNjVlODljY2E4Y2ZiZTUzMGEifQ=="/>
  </w:docVars>
  <w:rsids>
    <w:rsidRoot w:val="381D1FEA"/>
    <w:rsid w:val="00490476"/>
    <w:rsid w:val="006D6CCE"/>
    <w:rsid w:val="00723D42"/>
    <w:rsid w:val="00725188"/>
    <w:rsid w:val="00A25068"/>
    <w:rsid w:val="00E605BC"/>
    <w:rsid w:val="00F80723"/>
    <w:rsid w:val="13314F62"/>
    <w:rsid w:val="13606500"/>
    <w:rsid w:val="321D45E4"/>
    <w:rsid w:val="33BE686E"/>
    <w:rsid w:val="381D1FEA"/>
    <w:rsid w:val="45E841CB"/>
    <w:rsid w:val="4DE76929"/>
    <w:rsid w:val="54B87D19"/>
    <w:rsid w:val="666F6CA6"/>
    <w:rsid w:val="6D736BA1"/>
    <w:rsid w:val="72556520"/>
    <w:rsid w:val="79BA52EC"/>
    <w:rsid w:val="7FEE3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atLeast"/>
    </w:pPr>
    <w:rPr>
      <w:rFonts w:hint="eastAsia" w:ascii="楷体_GB2312" w:eastAsia="楷体_GB2312"/>
      <w:sz w:val="28"/>
    </w:rPr>
  </w:style>
  <w:style w:type="paragraph" w:styleId="3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5">
    <w:name w:val="bsharetext"/>
    <w:basedOn w:val="5"/>
    <w:uiPriority w:val="0"/>
  </w:style>
  <w:style w:type="character" w:customStyle="1" w:styleId="16">
    <w:name w:val="font1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454</Words>
  <Characters>493</Characters>
  <Lines>6</Lines>
  <Paragraphs>1</Paragraphs>
  <TotalTime>2</TotalTime>
  <ScaleCrop>false</ScaleCrop>
  <LinksUpToDate>false</LinksUpToDate>
  <CharactersWithSpaces>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2020-11-08T14:20:00Z</dcterms:created>
  <dc:creator>Administrator</dc:creator>
  <cp:lastModifiedBy>Administrator</cp:lastModifiedBy>
  <cp:lastPrinted>2020-11-09T01:01:00Z</cp:lastPrinted>
  <dcterms:modified xsi:type="dcterms:W3CDTF">2022-09-28T02:56:21Z</dcterms:modified>
  <dc:title>2020年威海市小学和初中心理健康教育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44C7294681FD4B0EA9F8BAAF5B2F15EF</vt:lpwstr>
  </property>
</Properties>
</file>