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widowControl/>
        <w:spacing w:line="560" w:lineRule="exact"/>
        <w:jc w:val="center"/>
        <w:rPr>
          <w:rFonts w:hint="eastAsia" w:ascii="创艺简标宋" w:hAnsi="创艺简标宋" w:eastAsia="创艺简标宋" w:cs="创艺简标宋"/>
          <w:sz w:val="43"/>
          <w:szCs w:val="43"/>
        </w:rPr>
      </w:pPr>
    </w:p>
    <w:p>
      <w:pPr>
        <w:pStyle w:val="3"/>
        <w:widowControl/>
        <w:spacing w:line="560" w:lineRule="exact"/>
        <w:jc w:val="center"/>
        <w:rPr>
          <w:rFonts w:hint="eastAsia" w:ascii="创艺简标宋" w:hAnsi="创艺简标宋" w:eastAsia="创艺简标宋" w:cs="创艺简标宋"/>
          <w:sz w:val="43"/>
          <w:szCs w:val="43"/>
        </w:rPr>
      </w:pPr>
      <w:r>
        <w:rPr>
          <w:rFonts w:hint="eastAsia" w:ascii="创艺简标宋" w:hAnsi="创艺简标宋" w:eastAsia="创艺简标宋" w:cs="创艺简标宋"/>
          <w:sz w:val="43"/>
          <w:szCs w:val="43"/>
        </w:rPr>
        <w:t>2022年威海市市直高中心理健康教育</w:t>
      </w:r>
    </w:p>
    <w:p>
      <w:pPr>
        <w:pStyle w:val="3"/>
        <w:widowControl/>
        <w:spacing w:line="560" w:lineRule="exact"/>
        <w:jc w:val="center"/>
        <w:rPr>
          <w:rFonts w:hint="default"/>
        </w:rPr>
      </w:pPr>
      <w:r>
        <w:rPr>
          <w:rFonts w:hint="eastAsia" w:ascii="创艺简标宋" w:hAnsi="创艺简标宋" w:eastAsia="创艺简标宋" w:cs="创艺简标宋"/>
          <w:sz w:val="43"/>
          <w:szCs w:val="43"/>
        </w:rPr>
        <w:t>优质课评选结果公示</w:t>
      </w:r>
    </w:p>
    <w:p>
      <w:pPr>
        <w:pStyle w:val="3"/>
        <w:widowControl/>
        <w:spacing w:line="600" w:lineRule="atLeast"/>
        <w:ind w:firstLine="620" w:firstLineChars="200"/>
        <w:rPr>
          <w:rFonts w:hint="default" w:ascii="仿宋_GB2312" w:eastAsia="仿宋_GB2312" w:cs="仿宋_GB2312"/>
          <w:sz w:val="31"/>
          <w:szCs w:val="31"/>
        </w:rPr>
      </w:pPr>
    </w:p>
    <w:p>
      <w:pPr>
        <w:pStyle w:val="3"/>
        <w:widowControl/>
        <w:spacing w:line="560" w:lineRule="exact"/>
        <w:jc w:val="left"/>
        <w:rPr>
          <w:rFonts w:hint="default"/>
        </w:rPr>
      </w:pPr>
      <w:r>
        <w:rPr>
          <w:rFonts w:hint="eastAsia" w:ascii="仿宋_GB2312" w:hAnsi="宋体" w:eastAsia="仿宋_GB2312"/>
          <w:color w:val="auto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hAnsi="宋体" w:eastAsia="仿宋_GB2312"/>
          <w:color w:val="auto"/>
          <w:sz w:val="32"/>
          <w:szCs w:val="32"/>
        </w:rPr>
        <w:t>根据市教研</w:t>
      </w:r>
      <w:r>
        <w:rPr>
          <w:rFonts w:hint="eastAsia" w:ascii="仿宋_GB2312" w:hAnsi="宋体" w:eastAsia="仿宋_GB2312"/>
          <w:color w:val="auto"/>
          <w:sz w:val="32"/>
          <w:szCs w:val="32"/>
          <w:lang w:val="en-US" w:eastAsia="zh-CN"/>
        </w:rPr>
        <w:t>院</w:t>
      </w:r>
      <w:r>
        <w:rPr>
          <w:rFonts w:hint="eastAsia" w:ascii="仿宋_GB2312" w:hAnsi="宋体" w:eastAsia="仿宋_GB2312"/>
          <w:color w:val="auto"/>
          <w:sz w:val="32"/>
          <w:szCs w:val="32"/>
        </w:rPr>
        <w:t>202</w:t>
      </w:r>
      <w:r>
        <w:rPr>
          <w:rFonts w:hint="eastAsia" w:ascii="仿宋_GB2312" w:hAnsi="宋体" w:eastAsia="仿宋_GB2312"/>
          <w:color w:val="auto"/>
          <w:sz w:val="32"/>
          <w:szCs w:val="32"/>
          <w:lang w:val="en-US" w:eastAsia="zh-CN"/>
        </w:rPr>
        <w:t>2</w:t>
      </w:r>
      <w:r>
        <w:rPr>
          <w:rFonts w:hint="eastAsia" w:ascii="仿宋_GB2312" w:hAnsi="宋体" w:eastAsia="仿宋_GB2312"/>
          <w:color w:val="auto"/>
          <w:sz w:val="32"/>
          <w:szCs w:val="32"/>
        </w:rPr>
        <w:t>年市直高中教研工作安排</w:t>
      </w:r>
      <w:r>
        <w:rPr>
          <w:rFonts w:hint="eastAsia" w:ascii="仿宋_GB2312" w:hAnsi="宋体" w:eastAsia="仿宋_GB2312"/>
          <w:color w:val="auto"/>
          <w:sz w:val="32"/>
          <w:szCs w:val="32"/>
          <w:lang w:eastAsia="zh-CN"/>
        </w:rPr>
        <w:t>和</w:t>
      </w:r>
      <w:r>
        <w:rPr>
          <w:rFonts w:hint="eastAsia" w:ascii="仿宋_GB2312" w:hAnsi="宋体" w:eastAsia="仿宋_GB2312"/>
          <w:color w:val="auto"/>
          <w:sz w:val="32"/>
          <w:szCs w:val="32"/>
        </w:rPr>
        <w:t>《威海市普通中小学特殊教育学校幼儿园优质课、优课、微课评选管理办法》（威教研中心〔2019〕7 号）</w:t>
      </w:r>
      <w:r>
        <w:rPr>
          <w:rFonts w:ascii="仿宋_GB2312" w:eastAsia="仿宋_GB2312" w:cs="仿宋_GB2312"/>
          <w:sz w:val="31"/>
          <w:szCs w:val="31"/>
        </w:rPr>
        <w:t>，202</w:t>
      </w:r>
      <w:r>
        <w:rPr>
          <w:rFonts w:hint="eastAsia" w:ascii="仿宋_GB2312" w:eastAsia="仿宋_GB2312" w:cs="仿宋_GB2312"/>
          <w:sz w:val="31"/>
          <w:szCs w:val="31"/>
          <w:lang w:val="en-US" w:eastAsia="zh-CN"/>
        </w:rPr>
        <w:t>2</w:t>
      </w:r>
      <w:r>
        <w:rPr>
          <w:rFonts w:ascii="仿宋_GB2312" w:eastAsia="仿宋_GB2312" w:cs="仿宋_GB2312"/>
          <w:sz w:val="31"/>
          <w:szCs w:val="31"/>
        </w:rPr>
        <w:t>年</w:t>
      </w:r>
      <w:r>
        <w:rPr>
          <w:rFonts w:hint="eastAsia" w:ascii="仿宋_GB2312" w:eastAsia="仿宋_GB2312" w:cs="仿宋_GB2312"/>
          <w:sz w:val="31"/>
          <w:szCs w:val="31"/>
        </w:rPr>
        <w:t>市直高中心理健康教育</w:t>
      </w:r>
      <w:r>
        <w:rPr>
          <w:rFonts w:ascii="仿宋_GB2312" w:eastAsia="仿宋_GB2312" w:cs="仿宋_GB2312"/>
          <w:sz w:val="31"/>
          <w:szCs w:val="31"/>
        </w:rPr>
        <w:t>优质课</w:t>
      </w:r>
      <w:r>
        <w:rPr>
          <w:rFonts w:hint="default" w:ascii="仿宋_GB2312" w:eastAsia="仿宋_GB2312" w:cs="仿宋_GB2312"/>
          <w:sz w:val="31"/>
          <w:szCs w:val="31"/>
        </w:rPr>
        <w:t>评选</w:t>
      </w:r>
      <w:r>
        <w:rPr>
          <w:rFonts w:hint="eastAsia" w:ascii="仿宋_GB2312" w:eastAsia="仿宋_GB2312" w:cs="仿宋_GB2312"/>
          <w:sz w:val="31"/>
          <w:szCs w:val="31"/>
          <w:lang w:val="en-US" w:eastAsia="zh-CN"/>
        </w:rPr>
        <w:t>于9</w:t>
      </w:r>
      <w:r>
        <w:rPr>
          <w:rFonts w:ascii="仿宋_GB2312" w:eastAsia="仿宋_GB2312" w:cs="仿宋_GB2312"/>
          <w:sz w:val="31"/>
          <w:szCs w:val="31"/>
        </w:rPr>
        <w:t>月</w:t>
      </w:r>
      <w:r>
        <w:rPr>
          <w:rFonts w:hint="eastAsia" w:ascii="仿宋_GB2312" w:eastAsia="仿宋_GB2312" w:cs="仿宋_GB2312"/>
          <w:sz w:val="31"/>
          <w:szCs w:val="31"/>
          <w:lang w:val="en-US" w:eastAsia="zh-CN"/>
        </w:rPr>
        <w:t>27</w:t>
      </w:r>
      <w:r>
        <w:rPr>
          <w:rFonts w:ascii="仿宋_GB2312" w:eastAsia="仿宋_GB2312" w:cs="仿宋_GB2312"/>
          <w:sz w:val="31"/>
          <w:szCs w:val="31"/>
        </w:rPr>
        <w:t>日在威海市</w:t>
      </w:r>
      <w:r>
        <w:rPr>
          <w:rFonts w:hint="eastAsia" w:ascii="仿宋_GB2312" w:eastAsia="仿宋_GB2312" w:cs="仿宋_GB2312"/>
          <w:sz w:val="31"/>
          <w:szCs w:val="31"/>
          <w:lang w:val="en-US" w:eastAsia="zh-CN"/>
        </w:rPr>
        <w:t>第二</w:t>
      </w:r>
      <w:r>
        <w:rPr>
          <w:rFonts w:ascii="仿宋_GB2312" w:eastAsia="仿宋_GB2312" w:cs="仿宋_GB2312"/>
          <w:sz w:val="31"/>
          <w:szCs w:val="31"/>
        </w:rPr>
        <w:t>中学顺利举行，共有</w:t>
      </w:r>
      <w:r>
        <w:rPr>
          <w:rFonts w:hint="eastAsia" w:ascii="仿宋_GB2312" w:eastAsia="仿宋_GB2312" w:cs="仿宋_GB2312"/>
          <w:sz w:val="31"/>
          <w:szCs w:val="31"/>
          <w:lang w:val="en-US" w:eastAsia="zh-CN"/>
        </w:rPr>
        <w:t>6</w:t>
      </w:r>
      <w:r>
        <w:rPr>
          <w:rFonts w:ascii="仿宋_GB2312" w:eastAsia="仿宋_GB2312" w:cs="仿宋_GB2312"/>
          <w:sz w:val="31"/>
          <w:szCs w:val="31"/>
        </w:rPr>
        <w:t>名选手参加评选。经过评委会认真公正的组织评选，共评选出市</w:t>
      </w:r>
      <w:r>
        <w:rPr>
          <w:rFonts w:hint="eastAsia" w:ascii="仿宋_GB2312" w:eastAsia="仿宋_GB2312" w:cs="仿宋_GB2312"/>
          <w:sz w:val="31"/>
          <w:szCs w:val="31"/>
          <w:lang w:val="en-US" w:eastAsia="zh-CN"/>
        </w:rPr>
        <w:t>直</w:t>
      </w:r>
      <w:r>
        <w:rPr>
          <w:rFonts w:ascii="仿宋_GB2312" w:eastAsia="仿宋_GB2312" w:cs="仿宋_GB2312"/>
          <w:sz w:val="31"/>
          <w:szCs w:val="31"/>
        </w:rPr>
        <w:t>优质课</w:t>
      </w:r>
      <w:r>
        <w:rPr>
          <w:rFonts w:hint="eastAsia" w:ascii="仿宋_GB2312" w:eastAsia="仿宋_GB2312" w:cs="仿宋_GB2312"/>
          <w:sz w:val="31"/>
          <w:szCs w:val="31"/>
          <w:lang w:val="en-US" w:eastAsia="zh-CN"/>
        </w:rPr>
        <w:t>6</w:t>
      </w:r>
      <w:r>
        <w:rPr>
          <w:rFonts w:ascii="仿宋_GB2312" w:eastAsia="仿宋_GB2312" w:cs="仿宋_GB2312"/>
          <w:sz w:val="31"/>
          <w:szCs w:val="31"/>
        </w:rPr>
        <w:t>节。现将结果予以公示（名单见附件），公示期为202</w:t>
      </w:r>
      <w:r>
        <w:rPr>
          <w:rFonts w:hint="eastAsia" w:ascii="仿宋_GB2312" w:eastAsia="仿宋_GB2312" w:cs="仿宋_GB2312"/>
          <w:sz w:val="31"/>
          <w:szCs w:val="31"/>
          <w:lang w:val="en-US" w:eastAsia="zh-CN"/>
        </w:rPr>
        <w:t>2</w:t>
      </w:r>
      <w:r>
        <w:rPr>
          <w:rFonts w:ascii="仿宋_GB2312" w:eastAsia="仿宋_GB2312" w:cs="仿宋_GB2312"/>
          <w:sz w:val="31"/>
          <w:szCs w:val="31"/>
        </w:rPr>
        <w:t>年</w:t>
      </w:r>
      <w:r>
        <w:rPr>
          <w:rFonts w:hint="eastAsia" w:ascii="仿宋_GB2312" w:eastAsia="仿宋_GB2312" w:cs="仿宋_GB2312"/>
          <w:sz w:val="31"/>
          <w:szCs w:val="31"/>
          <w:lang w:val="en-US" w:eastAsia="zh-CN"/>
        </w:rPr>
        <w:t>9</w:t>
      </w:r>
      <w:r>
        <w:rPr>
          <w:rFonts w:ascii="仿宋_GB2312" w:eastAsia="仿宋_GB2312" w:cs="仿宋_GB2312"/>
          <w:sz w:val="31"/>
          <w:szCs w:val="31"/>
        </w:rPr>
        <w:t>月</w:t>
      </w:r>
      <w:r>
        <w:rPr>
          <w:rFonts w:hint="eastAsia" w:ascii="仿宋_GB2312" w:eastAsia="仿宋_GB2312" w:cs="仿宋_GB2312"/>
          <w:sz w:val="31"/>
          <w:szCs w:val="31"/>
          <w:lang w:val="en-US" w:eastAsia="zh-CN"/>
        </w:rPr>
        <w:t>28</w:t>
      </w:r>
      <w:r>
        <w:rPr>
          <w:rFonts w:ascii="仿宋_GB2312" w:eastAsia="仿宋_GB2312" w:cs="仿宋_GB2312"/>
          <w:sz w:val="31"/>
          <w:szCs w:val="31"/>
        </w:rPr>
        <w:t>日至</w:t>
      </w:r>
      <w:r>
        <w:rPr>
          <w:rFonts w:hint="eastAsia" w:ascii="仿宋_GB2312" w:eastAsia="仿宋_GB2312" w:cs="仿宋_GB2312"/>
          <w:sz w:val="31"/>
          <w:szCs w:val="31"/>
          <w:lang w:val="en-US" w:eastAsia="zh-CN"/>
        </w:rPr>
        <w:t>30</w:t>
      </w:r>
      <w:r>
        <w:rPr>
          <w:rFonts w:ascii="仿宋_GB2312" w:eastAsia="仿宋_GB2312" w:cs="仿宋_GB2312"/>
          <w:sz w:val="31"/>
          <w:szCs w:val="31"/>
        </w:rPr>
        <w:t>日。　</w:t>
      </w:r>
    </w:p>
    <w:p>
      <w:pPr>
        <w:pStyle w:val="3"/>
        <w:widowControl/>
        <w:shd w:val="clear" w:color="auto" w:fill="FFFFFF"/>
        <w:spacing w:line="600" w:lineRule="atLeast"/>
        <w:ind w:firstLine="645"/>
        <w:jc w:val="left"/>
        <w:rPr>
          <w:rFonts w:hint="default"/>
        </w:rPr>
      </w:pPr>
      <w:r>
        <w:rPr>
          <w:rFonts w:ascii="仿宋_GB2312" w:eastAsia="仿宋_GB2312" w:cs="仿宋_GB2312"/>
          <w:sz w:val="31"/>
          <w:szCs w:val="31"/>
          <w:shd w:val="clear" w:color="auto" w:fill="FFFFFF"/>
        </w:rPr>
        <w:t>如对公示有异议，可以电话或书面形式向威海市教育教学研究</w:t>
      </w:r>
      <w:r>
        <w:rPr>
          <w:rFonts w:hint="eastAsia" w:ascii="仿宋_GB2312" w:eastAsia="仿宋_GB2312" w:cs="仿宋_GB2312"/>
          <w:sz w:val="31"/>
          <w:szCs w:val="31"/>
          <w:shd w:val="clear" w:color="auto" w:fill="FFFFFF"/>
          <w:lang w:val="en-US" w:eastAsia="zh-CN"/>
        </w:rPr>
        <w:t>院</w:t>
      </w:r>
      <w:r>
        <w:rPr>
          <w:rFonts w:ascii="仿宋_GB2312" w:eastAsia="仿宋_GB2312" w:cs="仿宋_GB2312"/>
          <w:sz w:val="31"/>
          <w:szCs w:val="31"/>
          <w:shd w:val="clear" w:color="auto" w:fill="FFFFFF"/>
        </w:rPr>
        <w:t>反映。</w:t>
      </w:r>
    </w:p>
    <w:p>
      <w:pPr>
        <w:pStyle w:val="3"/>
        <w:widowControl/>
        <w:shd w:val="clear" w:color="auto" w:fill="FFFFFF"/>
        <w:spacing w:line="600" w:lineRule="atLeast"/>
        <w:ind w:firstLine="645"/>
        <w:rPr>
          <w:rFonts w:hint="default" w:eastAsia="仿宋_GB2312"/>
        </w:rPr>
      </w:pPr>
      <w:r>
        <w:rPr>
          <w:rFonts w:ascii="仿宋_GB2312" w:eastAsia="仿宋_GB2312" w:cs="仿宋_GB2312"/>
          <w:sz w:val="31"/>
          <w:szCs w:val="31"/>
          <w:shd w:val="clear" w:color="auto" w:fill="FFFFFF"/>
        </w:rPr>
        <w:t>联系电话：0631-5801587。</w:t>
      </w:r>
    </w:p>
    <w:p>
      <w:pPr>
        <w:pStyle w:val="3"/>
        <w:widowControl/>
        <w:shd w:val="clear" w:color="auto" w:fill="FFFFFF"/>
        <w:spacing w:line="600" w:lineRule="atLeast"/>
        <w:ind w:firstLine="645"/>
        <w:rPr>
          <w:rFonts w:hint="default"/>
        </w:rPr>
      </w:pPr>
      <w:r>
        <w:rPr>
          <w:rFonts w:ascii="仿宋_GB2312" w:eastAsia="仿宋_GB2312" w:cs="仿宋_GB2312"/>
          <w:sz w:val="31"/>
          <w:szCs w:val="31"/>
          <w:shd w:val="clear" w:color="auto" w:fill="FFFFFF"/>
        </w:rPr>
        <w:t> </w:t>
      </w:r>
    </w:p>
    <w:p>
      <w:pPr>
        <w:pStyle w:val="3"/>
        <w:widowControl/>
        <w:shd w:val="clear" w:color="auto" w:fill="FFFFFF"/>
        <w:spacing w:line="600" w:lineRule="atLeast"/>
        <w:ind w:firstLine="645"/>
        <w:rPr>
          <w:rFonts w:hint="default" w:ascii="仿宋_GB2312" w:eastAsia="仿宋_GB2312" w:cs="仿宋_GB2312"/>
          <w:sz w:val="31"/>
          <w:szCs w:val="31"/>
          <w:shd w:val="clear" w:color="auto" w:fill="FFFFFF"/>
        </w:rPr>
      </w:pPr>
      <w:r>
        <w:rPr>
          <w:rFonts w:ascii="仿宋_GB2312" w:eastAsia="仿宋_GB2312" w:cs="仿宋_GB2312"/>
          <w:sz w:val="31"/>
          <w:szCs w:val="31"/>
          <w:shd w:val="clear" w:color="auto" w:fill="FFFFFF"/>
        </w:rPr>
        <w:t>附件：</w:t>
      </w:r>
    </w:p>
    <w:p>
      <w:pPr>
        <w:pStyle w:val="3"/>
        <w:widowControl/>
        <w:shd w:val="clear" w:color="auto" w:fill="FFFFFF"/>
        <w:spacing w:line="600" w:lineRule="atLeast"/>
        <w:ind w:left="645"/>
        <w:rPr>
          <w:rFonts w:hint="default" w:ascii="仿宋_GB2312" w:eastAsia="仿宋_GB2312" w:cs="仿宋_GB2312"/>
          <w:sz w:val="31"/>
          <w:szCs w:val="31"/>
          <w:shd w:val="clear" w:color="auto" w:fill="FFFFFF"/>
        </w:rPr>
      </w:pPr>
      <w:r>
        <w:rPr>
          <w:rFonts w:ascii="仿宋_GB2312" w:eastAsia="仿宋_GB2312" w:cs="仿宋_GB2312"/>
          <w:sz w:val="31"/>
          <w:szCs w:val="31"/>
        </w:rPr>
        <w:t>威海市</w:t>
      </w:r>
      <w:r>
        <w:rPr>
          <w:rFonts w:hint="eastAsia" w:ascii="仿宋_GB2312" w:eastAsia="仿宋_GB2312" w:cs="仿宋_GB2312"/>
          <w:sz w:val="31"/>
          <w:szCs w:val="31"/>
          <w:lang w:val="en-US" w:eastAsia="zh-CN"/>
        </w:rPr>
        <w:t>市直高中</w:t>
      </w:r>
      <w:r>
        <w:rPr>
          <w:rFonts w:ascii="仿宋_GB2312" w:eastAsia="仿宋_GB2312" w:cs="仿宋_GB2312"/>
          <w:sz w:val="31"/>
          <w:szCs w:val="31"/>
        </w:rPr>
        <w:t>202</w:t>
      </w:r>
      <w:r>
        <w:rPr>
          <w:rFonts w:hint="eastAsia" w:ascii="仿宋_GB2312" w:eastAsia="仿宋_GB2312" w:cs="仿宋_GB2312"/>
          <w:sz w:val="31"/>
          <w:szCs w:val="31"/>
          <w:lang w:val="en-US" w:eastAsia="zh-CN"/>
        </w:rPr>
        <w:t>2</w:t>
      </w:r>
      <w:r>
        <w:rPr>
          <w:rFonts w:ascii="仿宋_GB2312" w:eastAsia="仿宋_GB2312" w:cs="仿宋_GB2312"/>
          <w:sz w:val="31"/>
          <w:szCs w:val="31"/>
        </w:rPr>
        <w:t>年</w:t>
      </w:r>
      <w:r>
        <w:rPr>
          <w:rFonts w:hint="eastAsia" w:ascii="仿宋_GB2312" w:eastAsia="仿宋_GB2312" w:cs="仿宋_GB2312"/>
          <w:sz w:val="31"/>
          <w:szCs w:val="31"/>
          <w:lang w:val="en-US" w:eastAsia="zh-CN"/>
        </w:rPr>
        <w:t>心理健康教育</w:t>
      </w:r>
      <w:r>
        <w:rPr>
          <w:rFonts w:ascii="仿宋_GB2312" w:eastAsia="仿宋_GB2312" w:cs="仿宋_GB2312"/>
          <w:sz w:val="31"/>
          <w:szCs w:val="31"/>
        </w:rPr>
        <w:t>优质课</w:t>
      </w:r>
      <w:r>
        <w:rPr>
          <w:rFonts w:hint="default" w:ascii="仿宋_GB2312" w:eastAsia="仿宋_GB2312" w:cs="仿宋_GB2312"/>
          <w:sz w:val="31"/>
          <w:szCs w:val="31"/>
        </w:rPr>
        <w:t>评选</w:t>
      </w:r>
      <w:r>
        <w:rPr>
          <w:rFonts w:ascii="仿宋_GB2312" w:eastAsia="仿宋_GB2312" w:cs="仿宋_GB2312"/>
          <w:sz w:val="31"/>
          <w:szCs w:val="31"/>
          <w:shd w:val="clear" w:color="auto" w:fill="FFFFFF"/>
        </w:rPr>
        <w:t>获奖名单</w:t>
      </w:r>
    </w:p>
    <w:p>
      <w:pPr>
        <w:pStyle w:val="3"/>
        <w:widowControl/>
        <w:spacing w:line="600" w:lineRule="atLeast"/>
        <w:ind w:firstLine="4155"/>
        <w:rPr>
          <w:rFonts w:hint="default" w:ascii="仿宋_GB2312" w:eastAsia="仿宋_GB2312" w:cs="仿宋_GB2312"/>
          <w:sz w:val="31"/>
          <w:szCs w:val="31"/>
        </w:rPr>
      </w:pPr>
      <w:r>
        <w:rPr>
          <w:rFonts w:ascii="仿宋_GB2312" w:eastAsia="仿宋_GB2312" w:cs="仿宋_GB2312"/>
          <w:sz w:val="31"/>
          <w:szCs w:val="31"/>
        </w:rPr>
        <w:t> </w:t>
      </w:r>
    </w:p>
    <w:p>
      <w:pPr>
        <w:pStyle w:val="3"/>
        <w:widowControl/>
        <w:spacing w:line="600" w:lineRule="atLeast"/>
        <w:jc w:val="right"/>
        <w:rPr>
          <w:rFonts w:ascii="仿宋_GB2312" w:eastAsia="仿宋_GB2312" w:cs="仿宋_GB2312"/>
          <w:sz w:val="31"/>
          <w:szCs w:val="31"/>
        </w:rPr>
      </w:pPr>
    </w:p>
    <w:p>
      <w:pPr>
        <w:pStyle w:val="3"/>
        <w:widowControl/>
        <w:spacing w:line="600" w:lineRule="atLeast"/>
        <w:jc w:val="right"/>
        <w:rPr>
          <w:rFonts w:hint="eastAsia" w:ascii="仿宋_GB2312" w:eastAsia="仿宋_GB2312" w:cs="仿宋_GB2312"/>
          <w:sz w:val="31"/>
          <w:szCs w:val="31"/>
          <w:lang w:eastAsia="zh-CN"/>
        </w:rPr>
      </w:pPr>
      <w:r>
        <w:rPr>
          <w:rFonts w:ascii="仿宋_GB2312" w:eastAsia="仿宋_GB2312" w:cs="仿宋_GB2312"/>
          <w:sz w:val="31"/>
          <w:szCs w:val="31"/>
        </w:rPr>
        <w:t>威海市教育教学研究</w:t>
      </w:r>
      <w:r>
        <w:rPr>
          <w:rFonts w:hint="eastAsia" w:ascii="仿宋_GB2312" w:eastAsia="仿宋_GB2312" w:cs="仿宋_GB2312"/>
          <w:sz w:val="31"/>
          <w:szCs w:val="31"/>
          <w:lang w:val="en-US" w:eastAsia="zh-CN"/>
        </w:rPr>
        <w:t>院</w:t>
      </w:r>
    </w:p>
    <w:p>
      <w:pPr>
        <w:pStyle w:val="3"/>
        <w:widowControl/>
        <w:wordWrap w:val="0"/>
        <w:spacing w:line="600" w:lineRule="atLeast"/>
        <w:jc w:val="right"/>
        <w:rPr>
          <w:rFonts w:hint="eastAsia" w:ascii="仿宋_GB2312" w:eastAsia="仿宋_GB2312" w:cs="仿宋_GB2312"/>
          <w:sz w:val="31"/>
          <w:szCs w:val="31"/>
          <w:lang w:val="en-US" w:eastAsia="zh-CN"/>
        </w:rPr>
      </w:pPr>
      <w:r>
        <w:rPr>
          <w:rFonts w:ascii="仿宋_GB2312" w:eastAsia="仿宋_GB2312" w:cs="仿宋_GB2312"/>
          <w:sz w:val="31"/>
          <w:szCs w:val="31"/>
        </w:rPr>
        <w:t> 202</w:t>
      </w:r>
      <w:r>
        <w:rPr>
          <w:rFonts w:hint="eastAsia" w:ascii="仿宋_GB2312" w:eastAsia="仿宋_GB2312" w:cs="仿宋_GB2312"/>
          <w:sz w:val="31"/>
          <w:szCs w:val="31"/>
          <w:lang w:val="en-US" w:eastAsia="zh-CN"/>
        </w:rPr>
        <w:t>2</w:t>
      </w:r>
      <w:r>
        <w:rPr>
          <w:rFonts w:ascii="仿宋_GB2312" w:eastAsia="仿宋_GB2312" w:cs="仿宋_GB2312"/>
          <w:sz w:val="31"/>
          <w:szCs w:val="31"/>
        </w:rPr>
        <w:t>年</w:t>
      </w:r>
      <w:r>
        <w:rPr>
          <w:rFonts w:hint="eastAsia" w:ascii="仿宋_GB2312" w:eastAsia="仿宋_GB2312" w:cs="仿宋_GB2312"/>
          <w:sz w:val="31"/>
          <w:szCs w:val="31"/>
          <w:lang w:val="en-US" w:eastAsia="zh-CN"/>
        </w:rPr>
        <w:t>9</w:t>
      </w:r>
      <w:r>
        <w:rPr>
          <w:rFonts w:ascii="仿宋_GB2312" w:eastAsia="仿宋_GB2312" w:cs="仿宋_GB2312"/>
          <w:sz w:val="31"/>
          <w:szCs w:val="31"/>
        </w:rPr>
        <w:t>月</w:t>
      </w:r>
      <w:r>
        <w:rPr>
          <w:rFonts w:hint="eastAsia" w:ascii="仿宋_GB2312" w:eastAsia="仿宋_GB2312" w:cs="仿宋_GB2312"/>
          <w:sz w:val="31"/>
          <w:szCs w:val="31"/>
          <w:lang w:val="en-US" w:eastAsia="zh-CN"/>
        </w:rPr>
        <w:t>28</w:t>
      </w:r>
      <w:r>
        <w:rPr>
          <w:rFonts w:ascii="仿宋_GB2312" w:eastAsia="仿宋_GB2312" w:cs="仿宋_GB2312"/>
          <w:sz w:val="31"/>
          <w:szCs w:val="31"/>
        </w:rPr>
        <w:t>日</w:t>
      </w:r>
      <w:r>
        <w:rPr>
          <w:rFonts w:hint="eastAsia" w:ascii="仿宋_GB2312" w:eastAsia="仿宋_GB2312" w:cs="仿宋_GB2312"/>
          <w:sz w:val="31"/>
          <w:szCs w:val="31"/>
          <w:lang w:val="en-US" w:eastAsia="zh-CN"/>
        </w:rPr>
        <w:t xml:space="preserve"> </w:t>
      </w:r>
      <w:bookmarkStart w:id="0" w:name="_GoBack"/>
      <w:bookmarkEnd w:id="0"/>
    </w:p>
    <w:p>
      <w:pPr>
        <w:rPr>
          <w:rFonts w:ascii="仿宋_GB2312" w:eastAsia="仿宋_GB2312" w:cs="仿宋_GB2312"/>
          <w:sz w:val="31"/>
          <w:szCs w:val="31"/>
        </w:rPr>
      </w:pPr>
      <w:r>
        <w:rPr>
          <w:rFonts w:hint="eastAsia" w:ascii="仿宋_GB2312" w:eastAsia="仿宋_GB2312" w:cs="仿宋_GB2312"/>
          <w:sz w:val="31"/>
          <w:szCs w:val="31"/>
        </w:rPr>
        <w:br w:type="page"/>
      </w:r>
    </w:p>
    <w:p>
      <w:pPr>
        <w:jc w:val="left"/>
        <w:rPr>
          <w:rFonts w:ascii="仿宋_GB2312" w:eastAsia="仿宋_GB2312" w:cs="仿宋_GB2312"/>
          <w:b/>
          <w:bCs/>
          <w:sz w:val="31"/>
          <w:szCs w:val="31"/>
        </w:rPr>
      </w:pPr>
      <w:r>
        <w:rPr>
          <w:rFonts w:hint="eastAsia" w:ascii="仿宋_GB2312" w:eastAsia="仿宋_GB2312" w:cs="仿宋_GB2312"/>
          <w:b/>
          <w:bCs/>
          <w:sz w:val="31"/>
          <w:szCs w:val="31"/>
        </w:rPr>
        <w:t>附件：</w:t>
      </w:r>
    </w:p>
    <w:p>
      <w:pPr>
        <w:jc w:val="center"/>
        <w:rPr>
          <w:rFonts w:hint="eastAsia" w:ascii="仿宋_GB2312" w:eastAsia="仿宋_GB2312" w:cs="仿宋_GB2312"/>
          <w:b/>
          <w:bCs/>
          <w:sz w:val="31"/>
          <w:szCs w:val="31"/>
          <w:shd w:val="clear" w:color="auto" w:fill="FFFFFF"/>
        </w:rPr>
      </w:pPr>
      <w:r>
        <w:rPr>
          <w:rFonts w:hint="eastAsia" w:ascii="仿宋_GB2312" w:eastAsia="仿宋_GB2312" w:cs="仿宋_GB2312"/>
          <w:b/>
          <w:bCs/>
          <w:sz w:val="31"/>
          <w:szCs w:val="31"/>
          <w:shd w:val="clear" w:color="auto" w:fill="FFFFFF"/>
        </w:rPr>
        <w:t>威海市</w:t>
      </w:r>
      <w:r>
        <w:rPr>
          <w:rFonts w:hint="eastAsia" w:ascii="仿宋_GB2312" w:eastAsia="仿宋_GB2312" w:cs="仿宋_GB2312"/>
          <w:b/>
          <w:bCs/>
          <w:sz w:val="31"/>
          <w:szCs w:val="31"/>
          <w:shd w:val="clear" w:color="auto" w:fill="FFFFFF"/>
          <w:lang w:val="en-US" w:eastAsia="zh-CN"/>
        </w:rPr>
        <w:t>市直高中</w:t>
      </w:r>
      <w:r>
        <w:rPr>
          <w:rFonts w:hint="eastAsia" w:ascii="仿宋_GB2312" w:eastAsia="仿宋_GB2312" w:cs="仿宋_GB2312"/>
          <w:b/>
          <w:bCs/>
          <w:sz w:val="31"/>
          <w:szCs w:val="31"/>
          <w:shd w:val="clear" w:color="auto" w:fill="FFFFFF"/>
        </w:rPr>
        <w:t>202</w:t>
      </w:r>
      <w:r>
        <w:rPr>
          <w:rFonts w:hint="eastAsia" w:ascii="仿宋_GB2312" w:eastAsia="仿宋_GB2312" w:cs="仿宋_GB2312"/>
          <w:b/>
          <w:bCs/>
          <w:sz w:val="31"/>
          <w:szCs w:val="31"/>
          <w:shd w:val="clear" w:color="auto" w:fill="FFFFFF"/>
          <w:lang w:val="en-US" w:eastAsia="zh-CN"/>
        </w:rPr>
        <w:t>2</w:t>
      </w:r>
      <w:r>
        <w:rPr>
          <w:rFonts w:hint="eastAsia" w:ascii="仿宋_GB2312" w:eastAsia="仿宋_GB2312" w:cs="仿宋_GB2312"/>
          <w:b/>
          <w:bCs/>
          <w:sz w:val="31"/>
          <w:szCs w:val="31"/>
          <w:shd w:val="clear" w:color="auto" w:fill="FFFFFF"/>
        </w:rPr>
        <w:t>年</w:t>
      </w:r>
      <w:r>
        <w:rPr>
          <w:rFonts w:hint="eastAsia" w:ascii="仿宋_GB2312" w:eastAsia="仿宋_GB2312" w:cs="仿宋_GB2312"/>
          <w:b/>
          <w:bCs/>
          <w:sz w:val="31"/>
          <w:szCs w:val="31"/>
          <w:shd w:val="clear" w:color="auto" w:fill="FFFFFF"/>
          <w:lang w:val="en-US" w:eastAsia="zh-CN"/>
        </w:rPr>
        <w:t>心理健康教育</w:t>
      </w:r>
      <w:r>
        <w:rPr>
          <w:rFonts w:hint="eastAsia" w:ascii="仿宋_GB2312" w:eastAsia="仿宋_GB2312" w:cs="仿宋_GB2312"/>
          <w:b/>
          <w:bCs/>
          <w:sz w:val="31"/>
          <w:szCs w:val="31"/>
          <w:shd w:val="clear" w:color="auto" w:fill="FFFFFF"/>
        </w:rPr>
        <w:t>优质课</w:t>
      </w:r>
      <w:r>
        <w:rPr>
          <w:rFonts w:hint="default" w:ascii="仿宋_GB2312" w:eastAsia="仿宋_GB2312" w:cs="仿宋_GB2312"/>
          <w:b/>
          <w:bCs/>
          <w:sz w:val="31"/>
          <w:szCs w:val="31"/>
          <w:shd w:val="clear" w:color="auto" w:fill="FFFFFF"/>
        </w:rPr>
        <w:t>评选</w:t>
      </w:r>
      <w:r>
        <w:rPr>
          <w:rFonts w:hint="eastAsia" w:ascii="仿宋_GB2312" w:eastAsia="仿宋_GB2312" w:cs="仿宋_GB2312"/>
          <w:b/>
          <w:bCs/>
          <w:sz w:val="31"/>
          <w:szCs w:val="31"/>
          <w:shd w:val="clear" w:color="auto" w:fill="FFFFFF"/>
        </w:rPr>
        <w:t>获奖名单</w:t>
      </w:r>
    </w:p>
    <w:tbl>
      <w:tblPr>
        <w:tblStyle w:val="4"/>
        <w:tblW w:w="844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34"/>
        <w:gridCol w:w="1087"/>
        <w:gridCol w:w="2535"/>
        <w:gridCol w:w="3285"/>
        <w:gridCol w:w="100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534" w:type="dxa"/>
            <w:noWrap/>
            <w:vAlign w:val="center"/>
          </w:tcPr>
          <w:p>
            <w:pPr>
              <w:pStyle w:val="2"/>
              <w:spacing w:line="360" w:lineRule="auto"/>
              <w:jc w:val="both"/>
              <w:rPr>
                <w:rFonts w:hint="default" w:ascii="仿宋_GB2312" w:hAnsi="仿宋_GB2312" w:eastAsia="仿宋_GB2312" w:cs="仿宋_GB2312"/>
                <w:b/>
                <w:sz w:val="21"/>
                <w:szCs w:val="21"/>
              </w:rPr>
            </w:pPr>
            <w:r>
              <w:rPr>
                <w:rFonts w:ascii="仿宋_GB2312" w:hAnsi="仿宋_GB2312" w:eastAsia="仿宋_GB2312" w:cs="仿宋_GB2312"/>
                <w:b/>
                <w:sz w:val="21"/>
                <w:szCs w:val="21"/>
              </w:rPr>
              <w:t>序</w:t>
            </w:r>
          </w:p>
        </w:tc>
        <w:tc>
          <w:tcPr>
            <w:tcW w:w="1087" w:type="dxa"/>
            <w:noWrap/>
            <w:vAlign w:val="center"/>
          </w:tcPr>
          <w:p>
            <w:pPr>
              <w:pStyle w:val="2"/>
              <w:spacing w:line="360" w:lineRule="auto"/>
              <w:jc w:val="both"/>
              <w:rPr>
                <w:rFonts w:hint="default" w:ascii="仿宋_GB2312" w:hAnsi="仿宋_GB2312" w:eastAsia="仿宋_GB2312" w:cs="仿宋_GB2312"/>
                <w:b/>
                <w:sz w:val="21"/>
                <w:szCs w:val="21"/>
              </w:rPr>
            </w:pPr>
            <w:r>
              <w:rPr>
                <w:rFonts w:ascii="仿宋_GB2312" w:hAnsi="仿宋_GB2312" w:eastAsia="仿宋_GB2312" w:cs="仿宋_GB2312"/>
                <w:b/>
                <w:sz w:val="21"/>
                <w:szCs w:val="21"/>
              </w:rPr>
              <w:t>姓名</w:t>
            </w:r>
          </w:p>
        </w:tc>
        <w:tc>
          <w:tcPr>
            <w:tcW w:w="2535" w:type="dxa"/>
            <w:noWrap/>
            <w:vAlign w:val="center"/>
          </w:tcPr>
          <w:p>
            <w:pPr>
              <w:pStyle w:val="2"/>
              <w:spacing w:line="360" w:lineRule="auto"/>
              <w:jc w:val="both"/>
              <w:rPr>
                <w:rFonts w:hint="default" w:ascii="仿宋_GB2312" w:hAnsi="仿宋_GB2312" w:eastAsia="仿宋_GB2312" w:cs="仿宋_GB2312"/>
                <w:b/>
                <w:sz w:val="21"/>
                <w:szCs w:val="21"/>
              </w:rPr>
            </w:pPr>
            <w:r>
              <w:rPr>
                <w:rFonts w:ascii="仿宋_GB2312" w:hAnsi="仿宋_GB2312" w:eastAsia="仿宋_GB2312" w:cs="仿宋_GB2312"/>
                <w:b/>
                <w:sz w:val="21"/>
                <w:szCs w:val="21"/>
              </w:rPr>
              <w:t>单位</w:t>
            </w:r>
          </w:p>
        </w:tc>
        <w:tc>
          <w:tcPr>
            <w:tcW w:w="3285" w:type="dxa"/>
            <w:noWrap/>
            <w:vAlign w:val="center"/>
          </w:tcPr>
          <w:p>
            <w:pPr>
              <w:pStyle w:val="2"/>
              <w:spacing w:line="360" w:lineRule="auto"/>
              <w:jc w:val="both"/>
              <w:rPr>
                <w:rFonts w:hint="default" w:ascii="仿宋_GB2312" w:hAnsi="仿宋_GB2312" w:eastAsia="仿宋_GB2312" w:cs="仿宋_GB2312"/>
                <w:b/>
                <w:sz w:val="21"/>
                <w:szCs w:val="21"/>
              </w:rPr>
            </w:pPr>
            <w:r>
              <w:rPr>
                <w:rFonts w:ascii="仿宋_GB2312" w:hAnsi="仿宋_GB2312" w:eastAsia="仿宋_GB2312" w:cs="仿宋_GB2312"/>
                <w:b/>
                <w:sz w:val="21"/>
                <w:szCs w:val="21"/>
              </w:rPr>
              <w:t>课题题目</w:t>
            </w:r>
          </w:p>
        </w:tc>
        <w:tc>
          <w:tcPr>
            <w:tcW w:w="1008" w:type="dxa"/>
            <w:noWrap/>
            <w:vAlign w:val="center"/>
          </w:tcPr>
          <w:p>
            <w:pPr>
              <w:pStyle w:val="2"/>
              <w:spacing w:line="360" w:lineRule="auto"/>
              <w:jc w:val="both"/>
              <w:rPr>
                <w:rFonts w:hint="default" w:ascii="仿宋_GB2312" w:hAnsi="仿宋_GB2312" w:eastAsia="仿宋_GB2312" w:cs="仿宋_GB2312"/>
                <w:b/>
                <w:sz w:val="21"/>
                <w:szCs w:val="21"/>
              </w:rPr>
            </w:pPr>
            <w:r>
              <w:rPr>
                <w:rFonts w:ascii="仿宋_GB2312" w:hAnsi="仿宋_GB2312" w:eastAsia="仿宋_GB2312" w:cs="仿宋_GB2312"/>
                <w:b/>
                <w:sz w:val="21"/>
                <w:szCs w:val="21"/>
              </w:rPr>
              <w:t>奖次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534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Tahoma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1087" w:type="dxa"/>
            <w:noWrap/>
            <w:vAlign w:val="center"/>
          </w:tcPr>
          <w:p>
            <w:pPr>
              <w:pStyle w:val="2"/>
              <w:spacing w:line="360" w:lineRule="auto"/>
              <w:jc w:val="both"/>
              <w:rPr>
                <w:rFonts w:hint="default" w:ascii="仿宋_GB2312" w:hAnsi="仿宋_GB2312" w:eastAsia="仿宋_GB2312" w:cs="仿宋_GB2312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  <w:t>王颖</w:t>
            </w:r>
          </w:p>
        </w:tc>
        <w:tc>
          <w:tcPr>
            <w:tcW w:w="2535" w:type="dxa"/>
            <w:noWrap/>
            <w:vAlign w:val="center"/>
          </w:tcPr>
          <w:p>
            <w:pPr>
              <w:pStyle w:val="2"/>
              <w:spacing w:line="360" w:lineRule="auto"/>
              <w:jc w:val="both"/>
              <w:rPr>
                <w:rFonts w:hint="default" w:ascii="仿宋_GB2312" w:hAnsi="仿宋_GB2312" w:eastAsia="仿宋_GB2312" w:cs="仿宋_GB2312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  <w:t>威海市第二中学</w:t>
            </w:r>
          </w:p>
        </w:tc>
        <w:tc>
          <w:tcPr>
            <w:tcW w:w="3285" w:type="dxa"/>
            <w:noWrap/>
            <w:vAlign w:val="center"/>
          </w:tcPr>
          <w:p>
            <w:pPr>
              <w:pStyle w:val="2"/>
              <w:spacing w:line="360" w:lineRule="auto"/>
              <w:jc w:val="both"/>
              <w:rPr>
                <w:rFonts w:hint="default" w:ascii="仿宋_GB2312" w:hAnsi="仿宋_GB2312" w:eastAsia="仿宋_GB2312" w:cs="仿宋_GB2312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  <w:t>预见方能遇见——目标的设定与达成</w:t>
            </w:r>
          </w:p>
        </w:tc>
        <w:tc>
          <w:tcPr>
            <w:tcW w:w="1008" w:type="dxa"/>
            <w:noWrap/>
            <w:vAlign w:val="center"/>
          </w:tcPr>
          <w:p>
            <w:pPr>
              <w:pStyle w:val="2"/>
              <w:spacing w:line="360" w:lineRule="auto"/>
              <w:jc w:val="both"/>
              <w:rPr>
                <w:rFonts w:hint="default" w:ascii="仿宋_GB2312" w:hAnsi="仿宋_GB2312" w:eastAsia="仿宋_GB2312" w:cs="仿宋_GB2312"/>
                <w:sz w:val="21"/>
                <w:szCs w:val="21"/>
              </w:rPr>
            </w:pPr>
            <w:r>
              <w:rPr>
                <w:rFonts w:ascii="仿宋_GB2312" w:hAnsi="仿宋_GB2312" w:eastAsia="仿宋_GB2312" w:cs="仿宋_GB2312"/>
                <w:sz w:val="21"/>
                <w:szCs w:val="21"/>
              </w:rPr>
              <w:t>一等奖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534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仿宋_GB2312" w:hAnsi="仿宋_GB2312" w:eastAsia="仿宋_GB2312" w:cs="仿宋_GB2312"/>
                <w:sz w:val="21"/>
                <w:szCs w:val="21"/>
              </w:rPr>
            </w:pPr>
            <w:r>
              <w:rPr>
                <w:rFonts w:hint="eastAsia" w:ascii="仿宋_GB2312" w:hAnsi="Tahoma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1087" w:type="dxa"/>
            <w:noWrap/>
            <w:vAlign w:val="center"/>
          </w:tcPr>
          <w:p>
            <w:pPr>
              <w:pStyle w:val="2"/>
              <w:spacing w:line="360" w:lineRule="auto"/>
              <w:jc w:val="both"/>
              <w:rPr>
                <w:rFonts w:hint="default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  <w:t>邹佳颖</w:t>
            </w:r>
          </w:p>
        </w:tc>
        <w:tc>
          <w:tcPr>
            <w:tcW w:w="2535" w:type="dxa"/>
            <w:noWrap/>
            <w:vAlign w:val="center"/>
          </w:tcPr>
          <w:p>
            <w:pPr>
              <w:pStyle w:val="2"/>
              <w:spacing w:line="360" w:lineRule="auto"/>
              <w:jc w:val="both"/>
              <w:rPr>
                <w:rFonts w:hint="default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  <w:t>威海市第一中学</w:t>
            </w:r>
          </w:p>
        </w:tc>
        <w:tc>
          <w:tcPr>
            <w:tcW w:w="3285" w:type="dxa"/>
            <w:noWrap/>
            <w:vAlign w:val="center"/>
          </w:tcPr>
          <w:p>
            <w:pPr>
              <w:pStyle w:val="2"/>
              <w:spacing w:line="360" w:lineRule="auto"/>
              <w:jc w:val="both"/>
              <w:rPr>
                <w:rFonts w:hint="default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  <w:t>沉浸式体验“彩虹人生”</w:t>
            </w:r>
          </w:p>
        </w:tc>
        <w:tc>
          <w:tcPr>
            <w:tcW w:w="1008" w:type="dxa"/>
            <w:noWrap/>
            <w:vAlign w:val="center"/>
          </w:tcPr>
          <w:p>
            <w:pPr>
              <w:jc w:val="both"/>
            </w:pPr>
            <w:r>
              <w:rPr>
                <w:rFonts w:ascii="仿宋_GB2312" w:hAnsi="仿宋_GB2312" w:eastAsia="仿宋_GB2312" w:cs="仿宋_GB2312"/>
                <w:szCs w:val="21"/>
              </w:rPr>
              <w:t>一等奖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534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仿宋_GB2312" w:hAnsi="仿宋_GB2312" w:eastAsia="仿宋_GB2312" w:cs="仿宋_GB2312"/>
                <w:sz w:val="21"/>
                <w:szCs w:val="21"/>
              </w:rPr>
            </w:pPr>
            <w:r>
              <w:rPr>
                <w:rFonts w:hint="eastAsia" w:ascii="仿宋_GB2312" w:hAnsi="Tahoma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</w:t>
            </w:r>
          </w:p>
        </w:tc>
        <w:tc>
          <w:tcPr>
            <w:tcW w:w="1087" w:type="dxa"/>
            <w:noWrap/>
            <w:vAlign w:val="center"/>
          </w:tcPr>
          <w:p>
            <w:pPr>
              <w:jc w:val="both"/>
              <w:rPr>
                <w:rFonts w:hint="default" w:ascii="仿宋_GB2312" w:hAnsi="仿宋_GB2312" w:eastAsia="仿宋_GB2312" w:cs="仿宋_GB2312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  <w:t>都平</w:t>
            </w:r>
          </w:p>
        </w:tc>
        <w:tc>
          <w:tcPr>
            <w:tcW w:w="2535" w:type="dxa"/>
            <w:noWrap/>
            <w:vAlign w:val="center"/>
          </w:tcPr>
          <w:p>
            <w:pPr>
              <w:jc w:val="both"/>
              <w:rPr>
                <w:rFonts w:hint="default" w:ascii="仿宋_GB2312" w:hAnsi="仿宋_GB2312" w:eastAsia="仿宋_GB2312" w:cs="仿宋_GB2312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  <w:t>威海市第三中学</w:t>
            </w:r>
          </w:p>
        </w:tc>
        <w:tc>
          <w:tcPr>
            <w:tcW w:w="3285" w:type="dxa"/>
            <w:noWrap/>
            <w:vAlign w:val="center"/>
          </w:tcPr>
          <w:p>
            <w:pPr>
              <w:jc w:val="both"/>
              <w:rPr>
                <w:rFonts w:hint="default" w:ascii="仿宋_GB2312" w:hAnsi="仿宋_GB2312" w:eastAsia="仿宋_GB2312" w:cs="仿宋_GB2312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  <w:t>做情绪的舵手</w:t>
            </w:r>
          </w:p>
        </w:tc>
        <w:tc>
          <w:tcPr>
            <w:tcW w:w="1008" w:type="dxa"/>
            <w:noWrap/>
            <w:vAlign w:val="center"/>
          </w:tcPr>
          <w:p>
            <w:pPr>
              <w:jc w:val="both"/>
            </w:pPr>
            <w:r>
              <w:rPr>
                <w:rFonts w:ascii="仿宋_GB2312" w:hAnsi="仿宋_GB2312" w:eastAsia="仿宋_GB2312" w:cs="仿宋_GB2312"/>
                <w:sz w:val="21"/>
                <w:szCs w:val="21"/>
              </w:rPr>
              <w:t>二等奖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534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Tahoma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</w:t>
            </w:r>
          </w:p>
        </w:tc>
        <w:tc>
          <w:tcPr>
            <w:tcW w:w="1087" w:type="dxa"/>
            <w:noWrap/>
            <w:vAlign w:val="center"/>
          </w:tcPr>
          <w:p>
            <w:pPr>
              <w:pStyle w:val="17"/>
              <w:jc w:val="both"/>
              <w:rPr>
                <w:rFonts w:hint="default" w:ascii="仿宋_GB2312" w:hAnsi="仿宋_GB2312" w:eastAsia="仿宋_GB2312" w:cs="仿宋_GB2312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  <w:t>宁雯</w:t>
            </w:r>
          </w:p>
        </w:tc>
        <w:tc>
          <w:tcPr>
            <w:tcW w:w="2535" w:type="dxa"/>
            <w:noWrap/>
            <w:vAlign w:val="center"/>
          </w:tcPr>
          <w:p>
            <w:pPr>
              <w:pStyle w:val="17"/>
              <w:jc w:val="both"/>
              <w:rPr>
                <w:rFonts w:hint="default" w:ascii="仿宋_GB2312" w:hAnsi="仿宋_GB2312" w:eastAsia="仿宋_GB2312" w:cs="仿宋_GB2312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  <w:t>威海市第四中学</w:t>
            </w:r>
          </w:p>
        </w:tc>
        <w:tc>
          <w:tcPr>
            <w:tcW w:w="3285" w:type="dxa"/>
            <w:noWrap/>
            <w:vAlign w:val="center"/>
          </w:tcPr>
          <w:p>
            <w:pPr>
              <w:pStyle w:val="17"/>
              <w:jc w:val="both"/>
              <w:rPr>
                <w:rFonts w:hint="default" w:ascii="仿宋_GB2312" w:hAnsi="仿宋_GB2312" w:eastAsia="仿宋_GB2312" w:cs="仿宋_GB2312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  <w:t>点亮我的优势之光</w:t>
            </w:r>
          </w:p>
        </w:tc>
        <w:tc>
          <w:tcPr>
            <w:tcW w:w="1008" w:type="dxa"/>
            <w:noWrap/>
            <w:vAlign w:val="center"/>
          </w:tcPr>
          <w:p>
            <w:pPr>
              <w:jc w:val="both"/>
            </w:pPr>
            <w:r>
              <w:rPr>
                <w:rFonts w:ascii="仿宋_GB2312" w:hAnsi="仿宋_GB2312" w:eastAsia="仿宋_GB2312" w:cs="仿宋_GB2312"/>
                <w:sz w:val="21"/>
                <w:szCs w:val="21"/>
              </w:rPr>
              <w:t>二等奖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534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Tahoma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  <w:tc>
          <w:tcPr>
            <w:tcW w:w="1087" w:type="dxa"/>
            <w:noWrap/>
            <w:vAlign w:val="center"/>
          </w:tcPr>
          <w:p>
            <w:pPr>
              <w:pStyle w:val="2"/>
              <w:spacing w:line="360" w:lineRule="auto"/>
              <w:jc w:val="both"/>
              <w:rPr>
                <w:rFonts w:hint="default" w:ascii="仿宋_GB2312" w:hAnsi="仿宋_GB2312" w:eastAsia="仿宋_GB2312" w:cs="仿宋_GB2312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孙静</w:t>
            </w:r>
          </w:p>
        </w:tc>
        <w:tc>
          <w:tcPr>
            <w:tcW w:w="2535" w:type="dxa"/>
            <w:noWrap/>
            <w:vAlign w:val="center"/>
          </w:tcPr>
          <w:p>
            <w:pPr>
              <w:pStyle w:val="2"/>
              <w:spacing w:line="360" w:lineRule="auto"/>
              <w:jc w:val="both"/>
              <w:rPr>
                <w:rFonts w:hint="default" w:ascii="仿宋_GB2312" w:hAnsi="仿宋_GB2312" w:eastAsia="仿宋_GB2312" w:cs="仿宋_GB2312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威海市实验高级中学</w:t>
            </w:r>
          </w:p>
        </w:tc>
        <w:tc>
          <w:tcPr>
            <w:tcW w:w="3285" w:type="dxa"/>
            <w:noWrap/>
            <w:vAlign w:val="center"/>
          </w:tcPr>
          <w:p>
            <w:pPr>
              <w:pStyle w:val="2"/>
              <w:spacing w:line="360" w:lineRule="auto"/>
              <w:jc w:val="both"/>
              <w:rPr>
                <w:rFonts w:hint="default" w:ascii="仿宋_GB2312" w:hAnsi="仿宋_GB2312" w:eastAsia="仿宋_GB2312" w:cs="仿宋_GB2312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点亮不一样的“烟火”</w:t>
            </w:r>
          </w:p>
        </w:tc>
        <w:tc>
          <w:tcPr>
            <w:tcW w:w="1008" w:type="dxa"/>
            <w:noWrap/>
            <w:vAlign w:val="center"/>
          </w:tcPr>
          <w:p>
            <w:pPr>
              <w:pStyle w:val="2"/>
              <w:spacing w:line="360" w:lineRule="auto"/>
              <w:jc w:val="both"/>
              <w:rPr>
                <w:rFonts w:hint="default" w:ascii="仿宋_GB2312" w:hAnsi="仿宋_GB2312" w:eastAsia="仿宋_GB2312" w:cs="仿宋_GB2312"/>
                <w:sz w:val="21"/>
                <w:szCs w:val="21"/>
              </w:rPr>
            </w:pPr>
            <w:r>
              <w:rPr>
                <w:rFonts w:ascii="仿宋_GB2312" w:hAnsi="仿宋_GB2312" w:eastAsia="仿宋_GB2312" w:cs="仿宋_GB2312"/>
                <w:sz w:val="21"/>
                <w:szCs w:val="21"/>
              </w:rPr>
              <w:t>三等奖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534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Tahoma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</w:t>
            </w:r>
          </w:p>
        </w:tc>
        <w:tc>
          <w:tcPr>
            <w:tcW w:w="1087" w:type="dxa"/>
            <w:noWrap/>
            <w:vAlign w:val="center"/>
          </w:tcPr>
          <w:p>
            <w:pPr>
              <w:pStyle w:val="2"/>
              <w:spacing w:line="360" w:lineRule="auto"/>
              <w:jc w:val="both"/>
              <w:rPr>
                <w:rFonts w:hint="default" w:ascii="仿宋_GB2312" w:hAnsi="仿宋_GB2312" w:eastAsia="仿宋_GB2312" w:cs="仿宋_GB2312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丁建方</w:t>
            </w:r>
          </w:p>
        </w:tc>
        <w:tc>
          <w:tcPr>
            <w:tcW w:w="2535" w:type="dxa"/>
            <w:noWrap/>
            <w:vAlign w:val="center"/>
          </w:tcPr>
          <w:p>
            <w:pPr>
              <w:pStyle w:val="2"/>
              <w:spacing w:line="360" w:lineRule="auto"/>
              <w:jc w:val="both"/>
              <w:rPr>
                <w:rFonts w:hint="default" w:ascii="仿宋_GB2312" w:hAnsi="仿宋_GB2312" w:eastAsia="仿宋_GB2312" w:cs="仿宋_GB2312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威海大光华学校</w:t>
            </w:r>
          </w:p>
        </w:tc>
        <w:tc>
          <w:tcPr>
            <w:tcW w:w="3285" w:type="dxa"/>
            <w:noWrap/>
            <w:vAlign w:val="center"/>
          </w:tcPr>
          <w:p>
            <w:pPr>
              <w:pStyle w:val="2"/>
              <w:spacing w:line="360" w:lineRule="auto"/>
              <w:jc w:val="both"/>
              <w:rPr>
                <w:rFonts w:hint="default" w:ascii="仿宋_GB2312" w:hAnsi="仿宋_GB2312" w:eastAsia="仿宋_GB2312" w:cs="仿宋_GB2312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学会选择，学会放弃</w:t>
            </w:r>
          </w:p>
        </w:tc>
        <w:tc>
          <w:tcPr>
            <w:tcW w:w="1008" w:type="dxa"/>
            <w:noWrap/>
            <w:vAlign w:val="center"/>
          </w:tcPr>
          <w:p>
            <w:pPr>
              <w:jc w:val="both"/>
            </w:pPr>
            <w:r>
              <w:rPr>
                <w:rFonts w:ascii="仿宋_GB2312" w:hAnsi="仿宋_GB2312" w:eastAsia="仿宋_GB2312" w:cs="仿宋_GB2312"/>
                <w:sz w:val="21"/>
                <w:szCs w:val="21"/>
              </w:rPr>
              <w:t>三等奖</w:t>
            </w:r>
          </w:p>
        </w:tc>
      </w:tr>
    </w:tbl>
    <w:p/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创艺简标宋">
    <w:altName w:val="方正小标宋简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docVars>
    <w:docVar w:name="commondata" w:val="eyJoZGlkIjoiOTQ3ZjdlYThjM2MyNGJhNjVlODljY2E4Y2ZiZTUzMGEifQ=="/>
  </w:docVars>
  <w:rsids>
    <w:rsidRoot w:val="381D1FEA"/>
    <w:rsid w:val="00490476"/>
    <w:rsid w:val="006D6CCE"/>
    <w:rsid w:val="00723D42"/>
    <w:rsid w:val="00725188"/>
    <w:rsid w:val="00A25068"/>
    <w:rsid w:val="00E605BC"/>
    <w:rsid w:val="00F80723"/>
    <w:rsid w:val="13314F62"/>
    <w:rsid w:val="13606500"/>
    <w:rsid w:val="321D45E4"/>
    <w:rsid w:val="33BE686E"/>
    <w:rsid w:val="381D1FEA"/>
    <w:rsid w:val="45E841CB"/>
    <w:rsid w:val="4DE76929"/>
    <w:rsid w:val="54B87D19"/>
    <w:rsid w:val="666F6CA6"/>
    <w:rsid w:val="6D736BA1"/>
    <w:rsid w:val="72556520"/>
    <w:rsid w:val="79BA52EC"/>
    <w:rsid w:val="7FEE39AA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qFormat="1" w:unhideWhenUsed="0" w:uiPriority="0" w:semiHidden="0" w:name="HTML Acronym"/>
    <w:lsdException w:unhideWhenUsed="0" w:uiPriority="0" w:semiHidden="0" w:name="HTML Address"/>
    <w:lsdException w:qFormat="1" w:unhideWhenUsed="0" w:uiPriority="0" w:semiHidden="0" w:name="HTML Cite"/>
    <w:lsdException w:qFormat="1" w:unhideWhenUsed="0" w:uiPriority="0" w:semiHidden="0" w:name="HTML Code"/>
    <w:lsdException w:qFormat="1"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qFormat="1"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line="320" w:lineRule="atLeast"/>
    </w:pPr>
    <w:rPr>
      <w:rFonts w:hint="eastAsia" w:ascii="楷体_GB2312" w:eastAsia="楷体_GB2312"/>
      <w:sz w:val="28"/>
    </w:rPr>
  </w:style>
  <w:style w:type="paragraph" w:styleId="3">
    <w:name w:val="Normal (Web)"/>
    <w:basedOn w:val="1"/>
    <w:qFormat/>
    <w:uiPriority w:val="0"/>
    <w:pPr>
      <w:jc w:val="left"/>
    </w:pPr>
    <w:rPr>
      <w:rFonts w:hint="eastAsia" w:ascii="微软雅黑" w:hAnsi="微软雅黑" w:eastAsia="微软雅黑" w:cs="Times New Roman"/>
      <w:kern w:val="0"/>
      <w:sz w:val="24"/>
    </w:rPr>
  </w:style>
  <w:style w:type="character" w:styleId="6">
    <w:name w:val="Strong"/>
    <w:basedOn w:val="5"/>
    <w:qFormat/>
    <w:uiPriority w:val="0"/>
    <w:rPr>
      <w:b/>
    </w:rPr>
  </w:style>
  <w:style w:type="character" w:styleId="7">
    <w:name w:val="FollowedHyperlink"/>
    <w:basedOn w:val="5"/>
    <w:qFormat/>
    <w:uiPriority w:val="0"/>
    <w:rPr>
      <w:color w:val="800080"/>
      <w:u w:val="none"/>
    </w:rPr>
  </w:style>
  <w:style w:type="character" w:styleId="8">
    <w:name w:val="Emphasis"/>
    <w:basedOn w:val="5"/>
    <w:qFormat/>
    <w:uiPriority w:val="0"/>
  </w:style>
  <w:style w:type="character" w:styleId="9">
    <w:name w:val="HTML Definition"/>
    <w:basedOn w:val="5"/>
    <w:qFormat/>
    <w:uiPriority w:val="0"/>
  </w:style>
  <w:style w:type="character" w:styleId="10">
    <w:name w:val="HTML Acronym"/>
    <w:basedOn w:val="5"/>
    <w:qFormat/>
    <w:uiPriority w:val="0"/>
  </w:style>
  <w:style w:type="character" w:styleId="11">
    <w:name w:val="HTML Variable"/>
    <w:basedOn w:val="5"/>
    <w:qFormat/>
    <w:uiPriority w:val="0"/>
  </w:style>
  <w:style w:type="character" w:styleId="12">
    <w:name w:val="Hyperlink"/>
    <w:basedOn w:val="5"/>
    <w:qFormat/>
    <w:uiPriority w:val="0"/>
    <w:rPr>
      <w:color w:val="0000FF"/>
      <w:u w:val="none"/>
    </w:rPr>
  </w:style>
  <w:style w:type="character" w:styleId="13">
    <w:name w:val="HTML Code"/>
    <w:basedOn w:val="5"/>
    <w:qFormat/>
    <w:uiPriority w:val="0"/>
    <w:rPr>
      <w:rFonts w:ascii="Courier New" w:hAnsi="Courier New"/>
      <w:sz w:val="20"/>
    </w:rPr>
  </w:style>
  <w:style w:type="character" w:styleId="14">
    <w:name w:val="HTML Cite"/>
    <w:basedOn w:val="5"/>
    <w:qFormat/>
    <w:uiPriority w:val="0"/>
  </w:style>
  <w:style w:type="character" w:customStyle="1" w:styleId="15">
    <w:name w:val="bsharetext"/>
    <w:basedOn w:val="5"/>
    <w:uiPriority w:val="0"/>
  </w:style>
  <w:style w:type="character" w:customStyle="1" w:styleId="16">
    <w:name w:val="font11"/>
    <w:basedOn w:val="5"/>
    <w:qFormat/>
    <w:uiPriority w:val="0"/>
    <w:rPr>
      <w:rFonts w:hint="eastAsia" w:ascii="仿宋_GB2312" w:eastAsia="仿宋_GB2312" w:cs="仿宋_GB2312"/>
      <w:color w:val="000000"/>
      <w:sz w:val="21"/>
      <w:szCs w:val="21"/>
      <w:u w:val="none"/>
    </w:rPr>
  </w:style>
  <w:style w:type="paragraph" w:customStyle="1" w:styleId="17">
    <w:name w:val="Table Paragraph"/>
    <w:basedOn w:val="1"/>
    <w:qFormat/>
    <w:uiPriority w:val="1"/>
    <w:rPr>
      <w:rFonts w:ascii="仿宋_GB2312" w:hAnsi="仿宋_GB2312" w:eastAsia="仿宋_GB2312" w:cs="仿宋_GB2312"/>
      <w:lang w:val="zh-CN" w:eastAsia="zh-CN" w:bidi="zh-CN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454</Words>
  <Characters>493</Characters>
  <Lines>6</Lines>
  <Paragraphs>1</Paragraphs>
  <TotalTime>2</TotalTime>
  <ScaleCrop>false</ScaleCrop>
  <LinksUpToDate>false</LinksUpToDate>
  <CharactersWithSpaces>502</CharactersWithSpaces>
  <Application>WPS Office_11.1.0.12358_F1E327BC-269C-435d-A152-05C5408002CA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2020-11-08T14:20:00Z</dcterms:created>
  <dc:creator>Administrator</dc:creator>
  <cp:lastModifiedBy>Administrator</cp:lastModifiedBy>
  <cp:lastPrinted>2020-11-09T01:01:00Z</cp:lastPrinted>
  <dcterms:modified xsi:type="dcterms:W3CDTF">2022-09-28T02:56:21Z</dcterms:modified>
  <dc:title>2020年威海市小学和初中心理健康教育</dc:title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2052-11.1.0.12358</vt:lpwstr>
  </property>
  <property fmtid="{D5CDD505-2E9C-101B-9397-08002B2CF9AE}" pid="3" name="ICV">
    <vt:lpwstr>44C7294681FD4B0EA9F8BAAF5B2F15EF</vt:lpwstr>
  </property>
</Properties>
</file>