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FC1027E">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宋体" w:hAnsi="宋体" w:eastAsia="方正小标宋简体" w:cs="方正小标宋简体"/>
          <w:b w:val="0"/>
          <w:bCs/>
          <w:color w:val="000000"/>
          <w:sz w:val="44"/>
          <w:szCs w:val="44"/>
          <w:highlight w:val="none"/>
        </w:rPr>
      </w:pPr>
      <w:r>
        <w:rPr>
          <w:rFonts w:hint="eastAsia" w:ascii="宋体" w:hAnsi="宋体" w:eastAsia="方正小标宋简体" w:cs="方正小标宋简体"/>
          <w:b w:val="0"/>
          <w:bCs/>
          <w:color w:val="000000"/>
          <w:sz w:val="44"/>
          <w:szCs w:val="44"/>
          <w:highlight w:val="none"/>
        </w:rPr>
        <w:t>山东省威海艺术学校</w:t>
      </w:r>
    </w:p>
    <w:p w14:paraId="039C9D96">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宋体" w:hAnsi="宋体" w:eastAsia="方正小标宋简体" w:cs="方正小标宋简体"/>
          <w:b w:val="0"/>
          <w:bCs/>
          <w:color w:val="000000"/>
          <w:sz w:val="44"/>
          <w:szCs w:val="44"/>
          <w:highlight w:val="none"/>
        </w:rPr>
      </w:pPr>
      <w:r>
        <w:rPr>
          <w:rFonts w:hint="eastAsia" w:ascii="宋体" w:hAnsi="宋体" w:eastAsia="方正小标宋简体" w:cs="方正小标宋简体"/>
          <w:b w:val="0"/>
          <w:bCs/>
          <w:color w:val="000000"/>
          <w:sz w:val="44"/>
          <w:szCs w:val="44"/>
          <w:highlight w:val="none"/>
        </w:rPr>
        <w:t>20</w:t>
      </w:r>
      <w:r>
        <w:rPr>
          <w:rFonts w:hint="eastAsia" w:ascii="宋体" w:hAnsi="宋体" w:eastAsia="方正小标宋简体" w:cs="方正小标宋简体"/>
          <w:b w:val="0"/>
          <w:bCs/>
          <w:color w:val="000000"/>
          <w:sz w:val="44"/>
          <w:szCs w:val="44"/>
          <w:highlight w:val="none"/>
          <w:lang w:val="en-US" w:eastAsia="zh-CN"/>
        </w:rPr>
        <w:t>2</w:t>
      </w:r>
      <w:r>
        <w:rPr>
          <w:rFonts w:hint="eastAsia" w:eastAsia="方正小标宋简体" w:cs="方正小标宋简体"/>
          <w:b w:val="0"/>
          <w:bCs/>
          <w:color w:val="000000"/>
          <w:sz w:val="44"/>
          <w:szCs w:val="44"/>
          <w:highlight w:val="none"/>
          <w:lang w:val="en-US" w:eastAsia="zh-CN"/>
        </w:rPr>
        <w:t>5</w:t>
      </w:r>
      <w:r>
        <w:rPr>
          <w:rFonts w:hint="eastAsia" w:ascii="宋体" w:hAnsi="宋体" w:eastAsia="方正小标宋简体" w:cs="方正小标宋简体"/>
          <w:b w:val="0"/>
          <w:bCs/>
          <w:color w:val="000000"/>
          <w:sz w:val="44"/>
          <w:szCs w:val="44"/>
          <w:highlight w:val="none"/>
        </w:rPr>
        <w:t>年普通高中招生简章</w:t>
      </w:r>
    </w:p>
    <w:p w14:paraId="09E37A04">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宋体" w:hAnsi="宋体" w:eastAsia="方正小标宋简体" w:cs="方正小标宋简体"/>
          <w:b w:val="0"/>
          <w:bCs/>
          <w:color w:val="000000"/>
          <w:sz w:val="44"/>
          <w:szCs w:val="44"/>
          <w:highlight w:val="none"/>
        </w:rPr>
      </w:pPr>
    </w:p>
    <w:p w14:paraId="5A655F30">
      <w:pPr>
        <w:keepNext w:val="0"/>
        <w:keepLines w:val="0"/>
        <w:pageBreakBefore w:val="0"/>
        <w:widowControl w:val="0"/>
        <w:kinsoku/>
        <w:wordWrap/>
        <w:overflowPunct/>
        <w:topLinePunct w:val="0"/>
        <w:autoSpaceDE/>
        <w:autoSpaceDN/>
        <w:bidi w:val="0"/>
        <w:adjustRightInd w:val="0"/>
        <w:snapToGrid w:val="0"/>
        <w:spacing w:line="578" w:lineRule="exact"/>
        <w:ind w:right="0" w:rightChars="0" w:firstLine="640" w:firstLineChars="200"/>
        <w:jc w:val="left"/>
        <w:textAlignment w:val="auto"/>
        <w:outlineLvl w:val="9"/>
        <w:rPr>
          <w:rFonts w:hint="eastAsia" w:ascii="宋体" w:hAnsi="宋体" w:eastAsia="仿宋_GB2312" w:cs="仿宋_GB2312"/>
          <w:color w:val="000000"/>
          <w:highlight w:val="none"/>
          <w:lang w:val="en-US" w:eastAsia="zh-CN"/>
        </w:rPr>
      </w:pPr>
      <w:r>
        <w:rPr>
          <w:rFonts w:hint="eastAsia" w:ascii="宋体" w:hAnsi="宋体" w:eastAsia="仿宋_GB2312" w:cs="仿宋_GB2312"/>
          <w:color w:val="000000"/>
          <w:highlight w:val="none"/>
          <w:lang w:val="en-US" w:eastAsia="zh-CN"/>
        </w:rPr>
        <w:t>山东省威海艺术学校是威海市教育局直属正县级单位，是全市唯一公办艺术学校。</w:t>
      </w:r>
      <w:r>
        <w:rPr>
          <w:rFonts w:hint="eastAsia" w:cs="仿宋_GB2312"/>
          <w:color w:val="000000"/>
          <w:highlight w:val="none"/>
          <w:lang w:val="en-US" w:eastAsia="zh-CN"/>
        </w:rPr>
        <w:t>学校</w:t>
      </w:r>
      <w:r>
        <w:rPr>
          <w:rFonts w:hint="eastAsia" w:ascii="宋体" w:hAnsi="宋体" w:eastAsia="仿宋_GB2312" w:cs="仿宋_GB2312"/>
          <w:color w:val="000000"/>
          <w:highlight w:val="none"/>
          <w:lang w:val="en-US" w:eastAsia="zh-CN"/>
        </w:rPr>
        <w:t>构建艺术升学教育为主体、普通高中和中职教育双类型教育协同发展办学格局，先后荣获全国优秀师范学校、国家级重点中等职业学校、山东省科研示范学校、山东省艺术教育示范学校等称号。2017年起面向夏季艺术高考，招收美术、音乐、综合艺术（服装表演）</w:t>
      </w:r>
      <w:r>
        <w:rPr>
          <w:rFonts w:hint="eastAsia" w:ascii="宋体" w:hAnsi="宋体" w:cs="仿宋_GB2312"/>
          <w:color w:val="000000"/>
          <w:highlight w:val="none"/>
          <w:lang w:val="en-US" w:eastAsia="zh-CN"/>
        </w:rPr>
        <w:t>类高中学籍艺术特长生</w:t>
      </w:r>
      <w:r>
        <w:rPr>
          <w:rFonts w:hint="eastAsia" w:cs="仿宋_GB2312"/>
          <w:color w:val="000000"/>
          <w:highlight w:val="none"/>
          <w:lang w:val="en-US" w:eastAsia="zh-CN"/>
        </w:rPr>
        <w:t>,多年来，为重点高校、知名艺术院校输送了大批优秀人才</w:t>
      </w:r>
      <w:r>
        <w:rPr>
          <w:rFonts w:hint="eastAsia" w:ascii="宋体" w:hAnsi="宋体" w:eastAsia="仿宋_GB2312" w:cs="仿宋_GB2312"/>
          <w:color w:val="000000"/>
          <w:highlight w:val="none"/>
          <w:lang w:val="en-US" w:eastAsia="zh-CN"/>
        </w:rPr>
        <w:t>。</w:t>
      </w:r>
      <w:r>
        <w:rPr>
          <w:rFonts w:hint="eastAsia" w:ascii="宋体" w:hAnsi="宋体" w:cs="仿宋_GB2312"/>
          <w:color w:val="000000"/>
          <w:highlight w:val="none"/>
          <w:lang w:val="en-US" w:eastAsia="zh-CN"/>
        </w:rPr>
        <w:t>根据</w:t>
      </w:r>
      <w:r>
        <w:rPr>
          <w:rFonts w:hint="eastAsia" w:ascii="仿宋_GB2312" w:hAnsi="仿宋_GB2312" w:eastAsia="仿宋_GB2312" w:cs="仿宋_GB2312"/>
          <w:b w:val="0"/>
          <w:color w:val="000000"/>
          <w:sz w:val="32"/>
          <w:szCs w:val="32"/>
          <w:highlight w:val="none"/>
        </w:rPr>
        <w:t>威海市教育局</w:t>
      </w:r>
      <w:r>
        <w:rPr>
          <w:rFonts w:hint="eastAsia" w:ascii="仿宋_GB2312" w:hAnsi="仿宋_GB2312" w:eastAsia="仿宋_GB2312" w:cs="仿宋_GB2312"/>
          <w:color w:val="auto"/>
          <w:sz w:val="32"/>
          <w:szCs w:val="32"/>
          <w:highlight w:val="none"/>
        </w:rPr>
        <w:t>《关于202</w:t>
      </w:r>
      <w:r>
        <w:rPr>
          <w:rFonts w:hint="eastAsia" w:ascii="仿宋_GB2312" w:hAnsi="仿宋_GB2312" w:eastAsia="仿宋_GB2312" w:cs="仿宋_GB2312"/>
          <w:color w:val="auto"/>
          <w:sz w:val="32"/>
          <w:szCs w:val="32"/>
          <w:highlight w:val="none"/>
          <w:lang w:val="en-US" w:eastAsia="zh-CN"/>
        </w:rPr>
        <w:t>5</w:t>
      </w:r>
      <w:r>
        <w:rPr>
          <w:rFonts w:hint="eastAsia" w:ascii="仿宋_GB2312" w:hAnsi="仿宋_GB2312" w:eastAsia="仿宋_GB2312" w:cs="仿宋_GB2312"/>
          <w:color w:val="auto"/>
          <w:sz w:val="32"/>
          <w:szCs w:val="32"/>
          <w:highlight w:val="none"/>
        </w:rPr>
        <w:t>年威海中心城区普通高中招生</w:t>
      </w:r>
      <w:r>
        <w:rPr>
          <w:rFonts w:hint="eastAsia" w:ascii="仿宋_GB2312" w:hAnsi="仿宋_GB2312" w:eastAsia="仿宋_GB2312" w:cs="仿宋_GB2312"/>
          <w:color w:val="auto"/>
          <w:sz w:val="32"/>
          <w:szCs w:val="32"/>
          <w:highlight w:val="none"/>
          <w:lang w:eastAsia="zh-CN"/>
        </w:rPr>
        <w:t>录取</w:t>
      </w:r>
      <w:r>
        <w:rPr>
          <w:rFonts w:hint="eastAsia" w:ascii="仿宋_GB2312" w:hAnsi="仿宋_GB2312" w:eastAsia="仿宋_GB2312" w:cs="仿宋_GB2312"/>
          <w:color w:val="auto"/>
          <w:sz w:val="32"/>
          <w:szCs w:val="32"/>
          <w:highlight w:val="none"/>
        </w:rPr>
        <w:t>工作意见》</w:t>
      </w:r>
      <w:r>
        <w:rPr>
          <w:rFonts w:hint="eastAsia" w:ascii="仿宋_GB2312" w:hAnsi="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威海市教育局</w:t>
      </w:r>
      <w:r>
        <w:rPr>
          <w:rFonts w:hint="eastAsia" w:ascii="仿宋_GB2312" w:hAnsi="仿宋_GB2312" w:eastAsia="仿宋_GB2312" w:cs="仿宋_GB2312"/>
          <w:sz w:val="32"/>
          <w:szCs w:val="32"/>
          <w:highlight w:val="none"/>
          <w:lang w:val="en-US" w:eastAsia="zh-CN"/>
        </w:rPr>
        <w:t>《关于优化调整中心城区中考艺术体育特长生招考政策的通知》</w:t>
      </w:r>
      <w:bookmarkStart w:id="0" w:name="_GoBack"/>
      <w:bookmarkEnd w:id="0"/>
      <w:r>
        <w:rPr>
          <w:rFonts w:hint="eastAsia" w:ascii="仿宋_GB2312" w:hAnsi="仿宋_GB2312" w:cs="仿宋_GB2312"/>
          <w:color w:val="auto"/>
          <w:sz w:val="32"/>
          <w:szCs w:val="32"/>
          <w:highlight w:val="none"/>
          <w:lang w:val="en-US" w:eastAsia="zh-CN"/>
        </w:rPr>
        <w:t>文件</w:t>
      </w:r>
      <w:r>
        <w:rPr>
          <w:rFonts w:hint="eastAsia" w:ascii="宋体" w:hAnsi="宋体" w:cs="仿宋_GB2312"/>
          <w:color w:val="000000"/>
          <w:highlight w:val="none"/>
          <w:lang w:val="en-US" w:eastAsia="zh-CN"/>
        </w:rPr>
        <w:t>精神，制定202</w:t>
      </w:r>
      <w:r>
        <w:rPr>
          <w:rFonts w:hint="eastAsia" w:cs="仿宋_GB2312"/>
          <w:color w:val="000000"/>
          <w:highlight w:val="none"/>
          <w:lang w:val="en-US" w:eastAsia="zh-CN"/>
        </w:rPr>
        <w:t>5</w:t>
      </w:r>
      <w:r>
        <w:rPr>
          <w:rFonts w:hint="eastAsia" w:ascii="宋体" w:hAnsi="宋体" w:cs="仿宋_GB2312"/>
          <w:color w:val="000000"/>
          <w:highlight w:val="none"/>
          <w:lang w:val="en-US" w:eastAsia="zh-CN"/>
        </w:rPr>
        <w:t>年</w:t>
      </w:r>
      <w:r>
        <w:rPr>
          <w:rFonts w:hint="eastAsia" w:cs="仿宋_GB2312"/>
          <w:color w:val="000000"/>
          <w:highlight w:val="none"/>
          <w:lang w:val="en-US" w:eastAsia="zh-CN"/>
        </w:rPr>
        <w:t>普通高中</w:t>
      </w:r>
      <w:r>
        <w:rPr>
          <w:rFonts w:hint="eastAsia" w:ascii="宋体" w:hAnsi="宋体" w:cs="仿宋_GB2312"/>
          <w:color w:val="000000"/>
          <w:highlight w:val="none"/>
          <w:lang w:val="en-US" w:eastAsia="zh-CN"/>
        </w:rPr>
        <w:t>招生简章。</w:t>
      </w:r>
    </w:p>
    <w:p w14:paraId="4BFA8F1B">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40" w:firstLineChars="200"/>
        <w:textAlignment w:val="auto"/>
        <w:rPr>
          <w:rFonts w:hint="eastAsia" w:ascii="宋体" w:hAnsi="宋体" w:eastAsia="仿宋_GB2312" w:cs="仿宋_GB2312"/>
          <w:color w:val="000000"/>
          <w:highlight w:val="none"/>
          <w:lang w:val="en-US" w:eastAsia="zh-CN"/>
        </w:rPr>
      </w:pPr>
      <w:r>
        <w:rPr>
          <w:rFonts w:hint="eastAsia" w:ascii="黑体" w:hAnsi="黑体" w:eastAsia="黑体" w:cs="黑体"/>
          <w:color w:val="000000"/>
          <w:kern w:val="2"/>
          <w:sz w:val="32"/>
          <w:szCs w:val="32"/>
          <w:highlight w:val="none"/>
          <w:lang w:val="en-US" w:eastAsia="zh-CN" w:bidi="ar-SA"/>
        </w:rPr>
        <w:t>一、</w:t>
      </w:r>
      <w:r>
        <w:rPr>
          <w:rFonts w:hint="eastAsia" w:ascii="宋体" w:hAnsi="宋体" w:eastAsia="黑体" w:cs="仿宋"/>
          <w:bCs/>
          <w:color w:val="000000"/>
          <w:highlight w:val="none"/>
        </w:rPr>
        <w:t>招生计划</w:t>
      </w:r>
      <w:r>
        <w:rPr>
          <w:rFonts w:hint="eastAsia" w:ascii="宋体" w:hAnsi="宋体" w:eastAsia="黑体" w:cs="仿宋"/>
          <w:bCs/>
          <w:color w:val="000000"/>
          <w:highlight w:val="none"/>
          <w:lang w:val="en-US" w:eastAsia="zh-CN"/>
        </w:rPr>
        <w:t xml:space="preserve">  </w:t>
      </w:r>
    </w:p>
    <w:tbl>
      <w:tblPr>
        <w:tblStyle w:val="9"/>
        <w:tblpPr w:leftFromText="180" w:rightFromText="180" w:vertAnchor="text" w:horzAnchor="page" w:tblpX="1820" w:tblpY="154"/>
        <w:tblOverlap w:val="never"/>
        <w:tblW w:w="836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126"/>
        <w:gridCol w:w="1160"/>
        <w:gridCol w:w="4034"/>
        <w:gridCol w:w="2044"/>
      </w:tblGrid>
      <w:tr w14:paraId="49EB5D6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8" w:hRule="atLeast"/>
        </w:trPr>
        <w:tc>
          <w:tcPr>
            <w:tcW w:w="1126" w:type="dxa"/>
            <w:tcBorders>
              <w:top w:val="single" w:color="000000" w:sz="4" w:space="0"/>
              <w:left w:val="single" w:color="000000" w:sz="4" w:space="0"/>
              <w:bottom w:val="single" w:color="000000" w:sz="4" w:space="0"/>
              <w:right w:val="single" w:color="000000" w:sz="4" w:space="0"/>
            </w:tcBorders>
            <w:shd w:val="clear" w:color="auto" w:fill="595959" w:themeFill="text1" w:themeFillTint="A5"/>
            <w:noWrap/>
            <w:vAlign w:val="center"/>
          </w:tcPr>
          <w:p w14:paraId="228D476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ascii="微软雅黑" w:hAnsi="微软雅黑" w:eastAsia="微软雅黑" w:cs="微软雅黑"/>
                <w:b/>
                <w:bCs/>
                <w:i w:val="0"/>
                <w:iCs w:val="0"/>
                <w:color w:val="FFFFFF" w:themeColor="background1"/>
                <w:sz w:val="32"/>
                <w:szCs w:val="32"/>
                <w:highlight w:val="none"/>
                <w:u w:val="none"/>
                <w14:textFill>
                  <w14:solidFill>
                    <w14:schemeClr w14:val="bg1"/>
                  </w14:solidFill>
                </w14:textFill>
              </w:rPr>
            </w:pPr>
            <w:r>
              <w:rPr>
                <w:rFonts w:hint="eastAsia" w:ascii="微软雅黑" w:hAnsi="微软雅黑" w:eastAsia="微软雅黑" w:cs="微软雅黑"/>
                <w:b/>
                <w:bCs/>
                <w:i w:val="0"/>
                <w:iCs w:val="0"/>
                <w:color w:val="FFFFFF" w:themeColor="background1"/>
                <w:kern w:val="0"/>
                <w:sz w:val="32"/>
                <w:szCs w:val="32"/>
                <w:highlight w:val="none"/>
                <w:u w:val="none"/>
                <w:lang w:val="en-US" w:eastAsia="zh-CN" w:bidi="ar"/>
                <w14:textFill>
                  <w14:solidFill>
                    <w14:schemeClr w14:val="bg1"/>
                  </w14:solidFill>
                </w14:textFill>
              </w:rPr>
              <w:t>类型</w:t>
            </w:r>
          </w:p>
        </w:tc>
        <w:tc>
          <w:tcPr>
            <w:tcW w:w="5194" w:type="dxa"/>
            <w:gridSpan w:val="2"/>
            <w:tcBorders>
              <w:top w:val="single" w:color="000000" w:sz="4" w:space="0"/>
              <w:left w:val="single" w:color="000000" w:sz="4" w:space="0"/>
              <w:bottom w:val="single" w:color="000000" w:sz="4" w:space="0"/>
              <w:right w:val="single" w:color="000000" w:sz="4" w:space="0"/>
            </w:tcBorders>
            <w:shd w:val="clear" w:color="auto" w:fill="595959" w:themeFill="text1" w:themeFillTint="A5"/>
            <w:noWrap/>
            <w:vAlign w:val="center"/>
          </w:tcPr>
          <w:p w14:paraId="7FA9C247">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default" w:ascii="微软雅黑" w:hAnsi="微软雅黑" w:eastAsia="微软雅黑" w:cs="微软雅黑"/>
                <w:b/>
                <w:bCs/>
                <w:i w:val="0"/>
                <w:iCs w:val="0"/>
                <w:color w:val="FFFFFF" w:themeColor="background1"/>
                <w:sz w:val="32"/>
                <w:szCs w:val="32"/>
                <w:highlight w:val="none"/>
                <w:u w:val="none"/>
                <w:lang w:val="en-US"/>
                <w14:textFill>
                  <w14:solidFill>
                    <w14:schemeClr w14:val="bg1"/>
                  </w14:solidFill>
                </w14:textFill>
              </w:rPr>
            </w:pPr>
            <w:r>
              <w:rPr>
                <w:rFonts w:hint="eastAsia" w:ascii="微软雅黑" w:hAnsi="微软雅黑" w:eastAsia="微软雅黑" w:cs="微软雅黑"/>
                <w:b/>
                <w:bCs/>
                <w:i w:val="0"/>
                <w:iCs w:val="0"/>
                <w:color w:val="FFFFFF" w:themeColor="background1"/>
                <w:kern w:val="0"/>
                <w:sz w:val="32"/>
                <w:szCs w:val="32"/>
                <w:highlight w:val="none"/>
                <w:u w:val="none"/>
                <w:lang w:val="en-US" w:eastAsia="zh-CN" w:bidi="ar"/>
                <w14:textFill>
                  <w14:solidFill>
                    <w14:schemeClr w14:val="bg1"/>
                  </w14:solidFill>
                </w14:textFill>
              </w:rPr>
              <w:t>招生专业类别</w:t>
            </w:r>
          </w:p>
        </w:tc>
        <w:tc>
          <w:tcPr>
            <w:tcW w:w="2044" w:type="dxa"/>
            <w:tcBorders>
              <w:top w:val="single" w:color="000000" w:sz="4" w:space="0"/>
              <w:left w:val="single" w:color="000000" w:sz="4" w:space="0"/>
              <w:bottom w:val="single" w:color="000000" w:sz="4" w:space="0"/>
              <w:right w:val="single" w:color="000000" w:sz="4" w:space="0"/>
            </w:tcBorders>
            <w:shd w:val="clear" w:color="auto" w:fill="595959" w:themeFill="text1" w:themeFillTint="A5"/>
            <w:vAlign w:val="center"/>
          </w:tcPr>
          <w:p w14:paraId="47272F0E">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default" w:ascii="微软雅黑" w:hAnsi="微软雅黑" w:eastAsia="微软雅黑" w:cs="微软雅黑"/>
                <w:b/>
                <w:bCs/>
                <w:i w:val="0"/>
                <w:iCs w:val="0"/>
                <w:color w:val="FFFFFF" w:themeColor="background1"/>
                <w:sz w:val="32"/>
                <w:szCs w:val="32"/>
                <w:highlight w:val="none"/>
                <w:u w:val="none"/>
                <w:lang w:val="en-US"/>
                <w14:textFill>
                  <w14:solidFill>
                    <w14:schemeClr w14:val="bg1"/>
                  </w14:solidFill>
                </w14:textFill>
              </w:rPr>
            </w:pPr>
            <w:r>
              <w:rPr>
                <w:rFonts w:hint="eastAsia" w:ascii="微软雅黑" w:hAnsi="微软雅黑" w:eastAsia="微软雅黑" w:cs="微软雅黑"/>
                <w:b/>
                <w:bCs/>
                <w:i w:val="0"/>
                <w:iCs w:val="0"/>
                <w:color w:val="FFFFFF" w:themeColor="background1"/>
                <w:kern w:val="0"/>
                <w:sz w:val="32"/>
                <w:szCs w:val="32"/>
                <w:highlight w:val="none"/>
                <w:u w:val="none"/>
                <w:lang w:val="en-US" w:eastAsia="zh-CN" w:bidi="ar"/>
                <w14:textFill>
                  <w14:solidFill>
                    <w14:schemeClr w14:val="bg1"/>
                  </w14:solidFill>
                </w14:textFill>
              </w:rPr>
              <w:t>招生计划数</w:t>
            </w:r>
          </w:p>
        </w:tc>
      </w:tr>
      <w:tr w14:paraId="233CE84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1126" w:type="dxa"/>
            <w:vMerge w:val="restart"/>
            <w:tcBorders>
              <w:top w:val="single" w:color="000000" w:sz="4" w:space="0"/>
              <w:left w:val="single" w:color="000000" w:sz="4" w:space="0"/>
              <w:right w:val="single" w:color="000000" w:sz="4" w:space="0"/>
            </w:tcBorders>
            <w:shd w:val="clear" w:color="auto" w:fill="E5B8B7" w:themeFill="accent2" w:themeFillTint="66"/>
            <w:noWrap/>
            <w:vAlign w:val="center"/>
          </w:tcPr>
          <w:p w14:paraId="4F73DDBE">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default" w:ascii="微软雅黑" w:hAnsi="微软雅黑" w:eastAsia="微软雅黑" w:cs="微软雅黑"/>
                <w:b w:val="0"/>
                <w:bCs w:val="0"/>
                <w:i w:val="0"/>
                <w:iCs w:val="0"/>
                <w:color w:val="000000"/>
                <w:sz w:val="32"/>
                <w:szCs w:val="32"/>
                <w:highlight w:val="none"/>
                <w:u w:val="none"/>
                <w:lang w:val="en-US" w:eastAsia="zh-CN"/>
              </w:rPr>
            </w:pPr>
            <w:r>
              <w:rPr>
                <w:rFonts w:hint="eastAsia" w:ascii="微软雅黑" w:hAnsi="微软雅黑" w:eastAsia="微软雅黑" w:cs="微软雅黑"/>
                <w:b w:val="0"/>
                <w:bCs w:val="0"/>
                <w:i w:val="0"/>
                <w:iCs w:val="0"/>
                <w:color w:val="000000"/>
                <w:sz w:val="32"/>
                <w:szCs w:val="32"/>
                <w:highlight w:val="none"/>
                <w:u w:val="none"/>
                <w:lang w:val="en-US" w:eastAsia="zh-CN"/>
              </w:rPr>
              <w:t>普通高中</w:t>
            </w:r>
          </w:p>
        </w:tc>
        <w:tc>
          <w:tcPr>
            <w:tcW w:w="5194" w:type="dxa"/>
            <w:gridSpan w:val="2"/>
            <w:tcBorders>
              <w:top w:val="single" w:color="000000" w:sz="4" w:space="0"/>
              <w:left w:val="single" w:color="000000" w:sz="4" w:space="0"/>
              <w:bottom w:val="single" w:color="000000" w:sz="4" w:space="0"/>
              <w:right w:val="single" w:color="000000" w:sz="4" w:space="0"/>
            </w:tcBorders>
            <w:shd w:val="clear" w:color="auto" w:fill="F2DCDC" w:themeFill="accent2" w:themeFillTint="32"/>
            <w:noWrap/>
            <w:vAlign w:val="center"/>
          </w:tcPr>
          <w:p w14:paraId="64232A9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default" w:ascii="仿宋_GB2312" w:hAnsi="宋体" w:eastAsia="仿宋_GB2312" w:cs="仿宋_GB2312"/>
                <w:i w:val="0"/>
                <w:iCs w:val="0"/>
                <w:color w:val="000000"/>
                <w:sz w:val="32"/>
                <w:szCs w:val="32"/>
                <w:highlight w:val="none"/>
                <w:u w:val="none"/>
                <w:lang w:val="en-US"/>
              </w:rPr>
            </w:pPr>
            <w:r>
              <w:rPr>
                <w:rFonts w:hint="eastAsia" w:ascii="仿宋_GB2312" w:hAnsi="宋体" w:eastAsia="仿宋_GB2312" w:cs="仿宋_GB2312"/>
                <w:i w:val="0"/>
                <w:iCs w:val="0"/>
                <w:color w:val="000000"/>
                <w:kern w:val="0"/>
                <w:sz w:val="32"/>
                <w:szCs w:val="32"/>
                <w:highlight w:val="none"/>
                <w:u w:val="none"/>
                <w:lang w:val="en-US" w:eastAsia="zh-CN" w:bidi="ar"/>
              </w:rPr>
              <w:t>普通</w:t>
            </w:r>
            <w:r>
              <w:rPr>
                <w:rFonts w:hint="eastAsia" w:ascii="仿宋_GB2312" w:cs="仿宋_GB2312"/>
                <w:i w:val="0"/>
                <w:iCs w:val="0"/>
                <w:color w:val="000000"/>
                <w:kern w:val="0"/>
                <w:sz w:val="32"/>
                <w:szCs w:val="32"/>
                <w:highlight w:val="none"/>
                <w:u w:val="none"/>
                <w:lang w:val="en-US" w:eastAsia="zh-CN" w:bidi="ar"/>
              </w:rPr>
              <w:t>类</w:t>
            </w:r>
          </w:p>
        </w:tc>
        <w:tc>
          <w:tcPr>
            <w:tcW w:w="2044" w:type="dxa"/>
            <w:tcBorders>
              <w:top w:val="single" w:color="000000" w:sz="4" w:space="0"/>
              <w:left w:val="single" w:color="000000" w:sz="4" w:space="0"/>
              <w:bottom w:val="single" w:color="000000" w:sz="4" w:space="0"/>
              <w:right w:val="single" w:color="000000" w:sz="4" w:space="0"/>
            </w:tcBorders>
            <w:shd w:val="clear" w:color="auto" w:fill="F2DCDC" w:themeFill="accent2" w:themeFillTint="32"/>
            <w:noWrap/>
            <w:vAlign w:val="center"/>
          </w:tcPr>
          <w:p w14:paraId="51877F1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default" w:ascii="仿宋_GB2312" w:hAnsi="宋体" w:eastAsia="仿宋_GB2312" w:cs="仿宋_GB2312"/>
                <w:i w:val="0"/>
                <w:iCs w:val="0"/>
                <w:color w:val="000000"/>
                <w:sz w:val="32"/>
                <w:szCs w:val="32"/>
                <w:highlight w:val="none"/>
                <w:u w:val="none"/>
                <w:lang w:val="en-US"/>
              </w:rPr>
            </w:pPr>
            <w:r>
              <w:rPr>
                <w:rFonts w:hint="eastAsia" w:ascii="仿宋_GB2312" w:hAnsi="宋体" w:eastAsia="仿宋_GB2312" w:cs="仿宋_GB2312"/>
                <w:i w:val="0"/>
                <w:iCs w:val="0"/>
                <w:color w:val="000000"/>
                <w:kern w:val="0"/>
                <w:sz w:val="32"/>
                <w:szCs w:val="32"/>
                <w:highlight w:val="none"/>
                <w:u w:val="none"/>
                <w:lang w:val="en-US" w:eastAsia="zh-CN" w:bidi="ar"/>
              </w:rPr>
              <w:t>90</w:t>
            </w:r>
            <w:r>
              <w:rPr>
                <w:rFonts w:hint="eastAsia" w:ascii="仿宋_GB2312" w:hAnsi="宋体" w:cs="仿宋_GB2312"/>
                <w:i w:val="0"/>
                <w:iCs w:val="0"/>
                <w:color w:val="000000"/>
                <w:kern w:val="0"/>
                <w:sz w:val="32"/>
                <w:szCs w:val="32"/>
                <w:highlight w:val="none"/>
                <w:u w:val="none"/>
                <w:lang w:val="en-US" w:eastAsia="zh-CN" w:bidi="ar"/>
              </w:rPr>
              <w:t>人</w:t>
            </w:r>
          </w:p>
        </w:tc>
      </w:tr>
      <w:tr w14:paraId="5EB4E3A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2" w:hRule="atLeast"/>
        </w:trPr>
        <w:tc>
          <w:tcPr>
            <w:tcW w:w="1126" w:type="dxa"/>
            <w:vMerge w:val="continue"/>
            <w:tcBorders>
              <w:left w:val="single" w:color="000000" w:sz="4" w:space="0"/>
              <w:right w:val="single" w:color="000000" w:sz="4" w:space="0"/>
            </w:tcBorders>
            <w:shd w:val="clear" w:color="auto" w:fill="FBD4B4" w:themeFill="accent6" w:themeFillTint="66"/>
            <w:noWrap/>
            <w:vAlign w:val="center"/>
          </w:tcPr>
          <w:p w14:paraId="0B54721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default" w:ascii="微软雅黑" w:hAnsi="微软雅黑" w:eastAsia="微软雅黑" w:cs="微软雅黑"/>
                <w:b w:val="0"/>
                <w:bCs w:val="0"/>
                <w:i w:val="0"/>
                <w:iCs w:val="0"/>
                <w:color w:val="000000"/>
                <w:kern w:val="0"/>
                <w:sz w:val="32"/>
                <w:szCs w:val="32"/>
                <w:highlight w:val="none"/>
                <w:u w:val="none"/>
                <w:lang w:val="en-US" w:eastAsia="zh-CN" w:bidi="ar"/>
              </w:rPr>
            </w:pPr>
          </w:p>
        </w:tc>
        <w:tc>
          <w:tcPr>
            <w:tcW w:w="1160" w:type="dxa"/>
            <w:vMerge w:val="restart"/>
            <w:tcBorders>
              <w:top w:val="single" w:color="000000" w:sz="4" w:space="0"/>
              <w:left w:val="single" w:color="000000" w:sz="4" w:space="0"/>
              <w:right w:val="single" w:color="auto" w:sz="4" w:space="0"/>
            </w:tcBorders>
            <w:shd w:val="clear" w:color="auto" w:fill="FBD4B4" w:themeFill="accent6" w:themeFillTint="66"/>
            <w:noWrap/>
            <w:vAlign w:val="center"/>
          </w:tcPr>
          <w:p w14:paraId="5E5071E2">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仿宋_GB2312" w:cs="仿宋_GB2312"/>
                <w:i w:val="0"/>
                <w:iCs w:val="0"/>
                <w:color w:val="000000"/>
                <w:sz w:val="32"/>
                <w:szCs w:val="32"/>
                <w:highlight w:val="none"/>
                <w:u w:val="none"/>
                <w:lang w:val="en-US" w:eastAsia="zh-CN"/>
              </w:rPr>
            </w:pPr>
            <w:r>
              <w:rPr>
                <w:rFonts w:hint="eastAsia" w:ascii="仿宋_GB2312" w:cs="仿宋_GB2312"/>
                <w:i w:val="0"/>
                <w:iCs w:val="0"/>
                <w:color w:val="000000"/>
                <w:sz w:val="32"/>
                <w:szCs w:val="32"/>
                <w:highlight w:val="none"/>
                <w:u w:val="none"/>
                <w:lang w:val="en-US" w:eastAsia="zh-CN"/>
              </w:rPr>
              <w:t>艺</w:t>
            </w:r>
          </w:p>
          <w:p w14:paraId="679C401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仿宋_GB2312" w:cs="仿宋_GB2312"/>
                <w:i w:val="0"/>
                <w:iCs w:val="0"/>
                <w:color w:val="000000"/>
                <w:sz w:val="32"/>
                <w:szCs w:val="32"/>
                <w:highlight w:val="none"/>
                <w:u w:val="none"/>
                <w:lang w:val="en-US" w:eastAsia="zh-CN"/>
              </w:rPr>
            </w:pPr>
            <w:r>
              <w:rPr>
                <w:rFonts w:hint="eastAsia" w:ascii="仿宋_GB2312" w:cs="仿宋_GB2312"/>
                <w:i w:val="0"/>
                <w:iCs w:val="0"/>
                <w:color w:val="000000"/>
                <w:sz w:val="32"/>
                <w:szCs w:val="32"/>
                <w:highlight w:val="none"/>
                <w:u w:val="none"/>
                <w:lang w:val="en-US" w:eastAsia="zh-CN"/>
              </w:rPr>
              <w:t>术</w:t>
            </w:r>
          </w:p>
          <w:p w14:paraId="3018EDD2">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default" w:ascii="仿宋_GB2312" w:hAnsi="宋体" w:eastAsia="仿宋_GB2312" w:cs="仿宋_GB2312"/>
                <w:i w:val="0"/>
                <w:iCs w:val="0"/>
                <w:color w:val="000000"/>
                <w:sz w:val="32"/>
                <w:szCs w:val="32"/>
                <w:highlight w:val="none"/>
                <w:u w:val="none"/>
                <w:lang w:val="en-US" w:eastAsia="zh-CN"/>
              </w:rPr>
            </w:pPr>
            <w:r>
              <w:rPr>
                <w:rFonts w:hint="eastAsia" w:ascii="仿宋_GB2312" w:cs="仿宋_GB2312"/>
                <w:i w:val="0"/>
                <w:iCs w:val="0"/>
                <w:color w:val="000000"/>
                <w:sz w:val="32"/>
                <w:szCs w:val="32"/>
                <w:highlight w:val="none"/>
                <w:u w:val="none"/>
                <w:lang w:val="en-US" w:eastAsia="zh-CN"/>
              </w:rPr>
              <w:t>类</w:t>
            </w:r>
          </w:p>
        </w:tc>
        <w:tc>
          <w:tcPr>
            <w:tcW w:w="4034" w:type="dxa"/>
            <w:tcBorders>
              <w:top w:val="single" w:color="000000" w:sz="4" w:space="0"/>
              <w:left w:val="single" w:color="auto" w:sz="4" w:space="0"/>
              <w:bottom w:val="single" w:color="000000" w:sz="4" w:space="0"/>
              <w:right w:val="single" w:color="000000" w:sz="4" w:space="0"/>
            </w:tcBorders>
            <w:shd w:val="clear" w:color="auto" w:fill="FBD4B4" w:themeFill="accent6" w:themeFillTint="66"/>
            <w:noWrap/>
            <w:vAlign w:val="center"/>
          </w:tcPr>
          <w:p w14:paraId="3094F8F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仿宋_GB2312" w:hAnsi="宋体" w:eastAsia="仿宋_GB2312" w:cs="仿宋_GB2312"/>
                <w:i w:val="0"/>
                <w:iCs w:val="0"/>
                <w:color w:val="000000"/>
                <w:kern w:val="0"/>
                <w:sz w:val="32"/>
                <w:szCs w:val="32"/>
                <w:highlight w:val="none"/>
                <w:u w:val="none"/>
                <w:lang w:val="en-US" w:eastAsia="zh-CN" w:bidi="ar"/>
              </w:rPr>
            </w:pPr>
            <w:r>
              <w:rPr>
                <w:rFonts w:hint="eastAsia" w:ascii="仿宋_GB2312" w:hAnsi="宋体" w:eastAsia="仿宋_GB2312" w:cs="仿宋_GB2312"/>
                <w:i w:val="0"/>
                <w:iCs w:val="0"/>
                <w:color w:val="000000"/>
                <w:kern w:val="0"/>
                <w:sz w:val="32"/>
                <w:szCs w:val="32"/>
                <w:highlight w:val="none"/>
                <w:u w:val="none"/>
                <w:lang w:val="en-US" w:eastAsia="zh-CN" w:bidi="ar"/>
              </w:rPr>
              <w:t>美术</w:t>
            </w:r>
          </w:p>
        </w:tc>
        <w:tc>
          <w:tcPr>
            <w:tcW w:w="2044" w:type="dxa"/>
            <w:tcBorders>
              <w:top w:val="single" w:color="000000" w:sz="4" w:space="0"/>
              <w:left w:val="single" w:color="000000" w:sz="4" w:space="0"/>
              <w:bottom w:val="single" w:color="000000" w:sz="4" w:space="0"/>
              <w:right w:val="single" w:color="000000" w:sz="4" w:space="0"/>
            </w:tcBorders>
            <w:shd w:val="clear" w:color="auto" w:fill="FBD4B4" w:themeFill="accent6" w:themeFillTint="66"/>
            <w:noWrap/>
            <w:vAlign w:val="center"/>
          </w:tcPr>
          <w:p w14:paraId="7BFDF82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default" w:ascii="仿宋_GB2312" w:hAnsi="宋体" w:eastAsia="仿宋_GB2312" w:cs="仿宋_GB2312"/>
                <w:i w:val="0"/>
                <w:iCs w:val="0"/>
                <w:color w:val="000000"/>
                <w:sz w:val="32"/>
                <w:szCs w:val="32"/>
                <w:highlight w:val="none"/>
                <w:u w:val="none"/>
                <w:lang w:val="en-US"/>
              </w:rPr>
            </w:pPr>
            <w:r>
              <w:rPr>
                <w:rFonts w:hint="eastAsia" w:ascii="仿宋_GB2312" w:hAnsi="宋体" w:eastAsia="仿宋_GB2312" w:cs="仿宋_GB2312"/>
                <w:i w:val="0"/>
                <w:iCs w:val="0"/>
                <w:color w:val="000000"/>
                <w:kern w:val="0"/>
                <w:sz w:val="32"/>
                <w:szCs w:val="32"/>
                <w:highlight w:val="none"/>
                <w:u w:val="none"/>
                <w:lang w:val="en-US" w:eastAsia="zh-CN" w:bidi="ar"/>
              </w:rPr>
              <w:t>135</w:t>
            </w:r>
            <w:r>
              <w:rPr>
                <w:rFonts w:hint="eastAsia" w:ascii="仿宋_GB2312" w:hAnsi="宋体" w:cs="仿宋_GB2312"/>
                <w:i w:val="0"/>
                <w:iCs w:val="0"/>
                <w:color w:val="000000"/>
                <w:kern w:val="0"/>
                <w:sz w:val="32"/>
                <w:szCs w:val="32"/>
                <w:highlight w:val="none"/>
                <w:u w:val="none"/>
                <w:lang w:val="en-US" w:eastAsia="zh-CN" w:bidi="ar"/>
              </w:rPr>
              <w:t>人</w:t>
            </w:r>
          </w:p>
        </w:tc>
      </w:tr>
      <w:tr w14:paraId="4125155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1126" w:type="dxa"/>
            <w:vMerge w:val="continue"/>
            <w:tcBorders>
              <w:left w:val="single" w:color="000000" w:sz="4" w:space="0"/>
              <w:right w:val="single" w:color="000000" w:sz="4" w:space="0"/>
            </w:tcBorders>
            <w:shd w:val="clear" w:color="auto" w:fill="FBD4B4" w:themeFill="accent6" w:themeFillTint="66"/>
            <w:noWrap/>
            <w:vAlign w:val="center"/>
          </w:tcPr>
          <w:p w14:paraId="4887299F">
            <w:pPr>
              <w:keepNext w:val="0"/>
              <w:keepLines w:val="0"/>
              <w:pageBreakBefore w:val="0"/>
              <w:kinsoku/>
              <w:wordWrap/>
              <w:overflowPunct/>
              <w:topLinePunct w:val="0"/>
              <w:autoSpaceDE/>
              <w:autoSpaceDN/>
              <w:bidi w:val="0"/>
              <w:adjustRightInd/>
              <w:snapToGrid/>
              <w:spacing w:line="400" w:lineRule="exact"/>
              <w:jc w:val="center"/>
              <w:rPr>
                <w:rFonts w:hint="eastAsia" w:ascii="微软雅黑" w:hAnsi="微软雅黑" w:eastAsia="微软雅黑" w:cs="微软雅黑"/>
                <w:b/>
                <w:bCs/>
                <w:i w:val="0"/>
                <w:iCs w:val="0"/>
                <w:color w:val="000000"/>
                <w:sz w:val="32"/>
                <w:szCs w:val="32"/>
                <w:highlight w:val="none"/>
                <w:u w:val="none"/>
              </w:rPr>
            </w:pPr>
          </w:p>
        </w:tc>
        <w:tc>
          <w:tcPr>
            <w:tcW w:w="1160" w:type="dxa"/>
            <w:vMerge w:val="continue"/>
            <w:tcBorders>
              <w:left w:val="single" w:color="000000" w:sz="4" w:space="0"/>
              <w:right w:val="single" w:color="auto" w:sz="4" w:space="0"/>
            </w:tcBorders>
            <w:shd w:val="clear" w:color="auto" w:fill="FBD4B4" w:themeFill="accent6" w:themeFillTint="66"/>
            <w:vAlign w:val="center"/>
          </w:tcPr>
          <w:p w14:paraId="7755B14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仿宋_GB2312" w:hAnsi="宋体" w:eastAsia="仿宋_GB2312" w:cs="仿宋_GB2312"/>
                <w:i w:val="0"/>
                <w:iCs w:val="0"/>
                <w:color w:val="000000"/>
                <w:sz w:val="32"/>
                <w:szCs w:val="32"/>
                <w:highlight w:val="none"/>
                <w:u w:val="none"/>
              </w:rPr>
            </w:pPr>
          </w:p>
        </w:tc>
        <w:tc>
          <w:tcPr>
            <w:tcW w:w="4034" w:type="dxa"/>
            <w:tcBorders>
              <w:top w:val="single" w:color="000000" w:sz="4" w:space="0"/>
              <w:left w:val="single" w:color="auto" w:sz="4" w:space="0"/>
              <w:bottom w:val="single" w:color="000000" w:sz="4" w:space="0"/>
              <w:right w:val="single" w:color="000000" w:sz="4" w:space="0"/>
            </w:tcBorders>
            <w:shd w:val="clear" w:color="auto" w:fill="FBD4B4" w:themeFill="accent6" w:themeFillTint="66"/>
            <w:vAlign w:val="center"/>
          </w:tcPr>
          <w:p w14:paraId="0AAF7D3B">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仿宋_GB2312" w:cs="仿宋_GB2312"/>
                <w:i w:val="0"/>
                <w:iCs w:val="0"/>
                <w:color w:val="000000"/>
                <w:kern w:val="0"/>
                <w:sz w:val="32"/>
                <w:szCs w:val="32"/>
                <w:highlight w:val="none"/>
                <w:u w:val="none"/>
                <w:lang w:val="en-US" w:eastAsia="zh-CN" w:bidi="ar"/>
              </w:rPr>
            </w:pPr>
            <w:r>
              <w:rPr>
                <w:rFonts w:hint="eastAsia" w:ascii="仿宋_GB2312" w:hAnsi="宋体" w:eastAsia="仿宋_GB2312" w:cs="仿宋_GB2312"/>
                <w:i w:val="0"/>
                <w:iCs w:val="0"/>
                <w:color w:val="000000"/>
                <w:kern w:val="0"/>
                <w:sz w:val="32"/>
                <w:szCs w:val="32"/>
                <w:highlight w:val="none"/>
                <w:u w:val="none"/>
                <w:lang w:val="en-US" w:eastAsia="zh-CN" w:bidi="ar"/>
              </w:rPr>
              <w:t>音乐</w:t>
            </w:r>
            <w:r>
              <w:rPr>
                <w:rFonts w:hint="eastAsia" w:ascii="仿宋_GB2312" w:hAnsi="宋体" w:eastAsia="仿宋_GB2312" w:cs="仿宋_GB2312"/>
                <w:i w:val="0"/>
                <w:iCs w:val="0"/>
                <w:color w:val="000000"/>
                <w:kern w:val="0"/>
                <w:sz w:val="32"/>
                <w:szCs w:val="32"/>
                <w:highlight w:val="none"/>
                <w:u w:val="none"/>
                <w:lang w:val="en-US" w:eastAsia="zh-CN" w:bidi="ar"/>
              </w:rPr>
              <w:br w:type="textWrapping"/>
            </w:r>
            <w:r>
              <w:rPr>
                <w:rFonts w:hint="eastAsia" w:ascii="仿宋_GB2312" w:hAnsi="宋体" w:eastAsia="仿宋_GB2312" w:cs="仿宋_GB2312"/>
                <w:i w:val="0"/>
                <w:iCs w:val="0"/>
                <w:color w:val="000000"/>
                <w:kern w:val="0"/>
                <w:sz w:val="24"/>
                <w:szCs w:val="24"/>
                <w:highlight w:val="none"/>
                <w:u w:val="none"/>
                <w:lang w:val="en-US" w:eastAsia="zh-CN" w:bidi="ar"/>
              </w:rPr>
              <w:t>（声乐20</w:t>
            </w:r>
            <w:r>
              <w:rPr>
                <w:rFonts w:hint="eastAsia" w:ascii="仿宋_GB2312" w:cs="仿宋_GB2312"/>
                <w:i w:val="0"/>
                <w:iCs w:val="0"/>
                <w:color w:val="000000"/>
                <w:kern w:val="0"/>
                <w:sz w:val="24"/>
                <w:szCs w:val="24"/>
                <w:highlight w:val="none"/>
                <w:u w:val="none"/>
                <w:lang w:val="en-US" w:eastAsia="zh-CN" w:bidi="ar"/>
              </w:rPr>
              <w:t>，</w:t>
            </w:r>
            <w:r>
              <w:rPr>
                <w:rFonts w:hint="eastAsia" w:ascii="仿宋_GB2312" w:hAnsi="宋体" w:eastAsia="仿宋_GB2312" w:cs="仿宋_GB2312"/>
                <w:i w:val="0"/>
                <w:iCs w:val="0"/>
                <w:color w:val="000000"/>
                <w:kern w:val="0"/>
                <w:sz w:val="24"/>
                <w:szCs w:val="24"/>
                <w:highlight w:val="none"/>
                <w:u w:val="none"/>
                <w:lang w:val="en-US" w:eastAsia="zh-CN" w:bidi="ar"/>
              </w:rPr>
              <w:t>器乐15</w:t>
            </w:r>
            <w:r>
              <w:rPr>
                <w:rFonts w:hint="eastAsia" w:ascii="仿宋_GB2312" w:cs="仿宋_GB2312"/>
                <w:i w:val="0"/>
                <w:iCs w:val="0"/>
                <w:color w:val="000000"/>
                <w:kern w:val="0"/>
                <w:sz w:val="24"/>
                <w:szCs w:val="24"/>
                <w:highlight w:val="none"/>
                <w:u w:val="none"/>
                <w:lang w:val="en-US" w:eastAsia="zh-CN" w:bidi="ar"/>
              </w:rPr>
              <w:t>，</w:t>
            </w:r>
            <w:r>
              <w:rPr>
                <w:rFonts w:hint="eastAsia" w:ascii="仿宋_GB2312" w:hAnsi="宋体" w:eastAsia="仿宋_GB2312" w:cs="仿宋_GB2312"/>
                <w:i w:val="0"/>
                <w:iCs w:val="0"/>
                <w:color w:val="000000"/>
                <w:kern w:val="0"/>
                <w:sz w:val="24"/>
                <w:szCs w:val="24"/>
                <w:highlight w:val="none"/>
                <w:u w:val="none"/>
                <w:lang w:val="en-US" w:eastAsia="zh-CN" w:bidi="ar"/>
              </w:rPr>
              <w:t>舞蹈15）</w:t>
            </w:r>
          </w:p>
        </w:tc>
        <w:tc>
          <w:tcPr>
            <w:tcW w:w="2044" w:type="dxa"/>
            <w:tcBorders>
              <w:top w:val="single" w:color="000000" w:sz="4" w:space="0"/>
              <w:left w:val="single" w:color="000000" w:sz="4" w:space="0"/>
              <w:bottom w:val="single" w:color="000000" w:sz="4" w:space="0"/>
              <w:right w:val="single" w:color="000000" w:sz="4" w:space="0"/>
            </w:tcBorders>
            <w:shd w:val="clear" w:color="auto" w:fill="FBD4B4" w:themeFill="accent6" w:themeFillTint="66"/>
            <w:noWrap/>
            <w:vAlign w:val="center"/>
          </w:tcPr>
          <w:p w14:paraId="2B3598E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default" w:ascii="仿宋_GB2312" w:hAnsi="宋体" w:eastAsia="仿宋_GB2312" w:cs="仿宋_GB2312"/>
                <w:i w:val="0"/>
                <w:iCs w:val="0"/>
                <w:color w:val="000000"/>
                <w:sz w:val="32"/>
                <w:szCs w:val="32"/>
                <w:highlight w:val="none"/>
                <w:u w:val="none"/>
                <w:lang w:val="en-US"/>
              </w:rPr>
            </w:pPr>
            <w:r>
              <w:rPr>
                <w:rFonts w:hint="eastAsia" w:ascii="仿宋_GB2312" w:hAnsi="宋体" w:eastAsia="仿宋_GB2312" w:cs="仿宋_GB2312"/>
                <w:i w:val="0"/>
                <w:iCs w:val="0"/>
                <w:color w:val="000000"/>
                <w:kern w:val="0"/>
                <w:sz w:val="32"/>
                <w:szCs w:val="32"/>
                <w:highlight w:val="none"/>
                <w:u w:val="none"/>
                <w:lang w:val="en-US" w:eastAsia="zh-CN" w:bidi="ar"/>
              </w:rPr>
              <w:t>50</w:t>
            </w:r>
            <w:r>
              <w:rPr>
                <w:rFonts w:hint="eastAsia" w:ascii="仿宋_GB2312" w:hAnsi="宋体" w:cs="仿宋_GB2312"/>
                <w:i w:val="0"/>
                <w:iCs w:val="0"/>
                <w:color w:val="000000"/>
                <w:kern w:val="0"/>
                <w:sz w:val="32"/>
                <w:szCs w:val="32"/>
                <w:highlight w:val="none"/>
                <w:u w:val="none"/>
                <w:lang w:val="en-US" w:eastAsia="zh-CN" w:bidi="ar"/>
              </w:rPr>
              <w:t>人</w:t>
            </w:r>
          </w:p>
        </w:tc>
      </w:tr>
      <w:tr w14:paraId="7DE56AA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1126" w:type="dxa"/>
            <w:vMerge w:val="continue"/>
            <w:tcBorders>
              <w:left w:val="single" w:color="000000" w:sz="4" w:space="0"/>
              <w:bottom w:val="single" w:color="000000" w:sz="4" w:space="0"/>
              <w:right w:val="single" w:color="000000" w:sz="4" w:space="0"/>
            </w:tcBorders>
            <w:shd w:val="clear" w:color="auto" w:fill="FBD4B4" w:themeFill="accent6" w:themeFillTint="66"/>
            <w:noWrap/>
            <w:vAlign w:val="center"/>
          </w:tcPr>
          <w:p w14:paraId="1ED2935E">
            <w:pPr>
              <w:keepNext w:val="0"/>
              <w:keepLines w:val="0"/>
              <w:pageBreakBefore w:val="0"/>
              <w:kinsoku/>
              <w:wordWrap/>
              <w:overflowPunct/>
              <w:topLinePunct w:val="0"/>
              <w:autoSpaceDE/>
              <w:autoSpaceDN/>
              <w:bidi w:val="0"/>
              <w:adjustRightInd/>
              <w:snapToGrid/>
              <w:spacing w:line="400" w:lineRule="exact"/>
              <w:jc w:val="center"/>
              <w:rPr>
                <w:rFonts w:hint="eastAsia" w:ascii="微软雅黑" w:hAnsi="微软雅黑" w:eastAsia="微软雅黑" w:cs="微软雅黑"/>
                <w:b/>
                <w:bCs/>
                <w:i w:val="0"/>
                <w:iCs w:val="0"/>
                <w:color w:val="000000"/>
                <w:sz w:val="32"/>
                <w:szCs w:val="32"/>
                <w:highlight w:val="none"/>
                <w:u w:val="none"/>
              </w:rPr>
            </w:pPr>
          </w:p>
        </w:tc>
        <w:tc>
          <w:tcPr>
            <w:tcW w:w="1160" w:type="dxa"/>
            <w:vMerge w:val="continue"/>
            <w:tcBorders>
              <w:left w:val="single" w:color="000000" w:sz="4" w:space="0"/>
              <w:bottom w:val="single" w:color="000000" w:sz="4" w:space="0"/>
              <w:right w:val="single" w:color="auto" w:sz="4" w:space="0"/>
            </w:tcBorders>
            <w:shd w:val="clear" w:color="auto" w:fill="FBD4B4" w:themeFill="accent6" w:themeFillTint="66"/>
            <w:vAlign w:val="center"/>
          </w:tcPr>
          <w:p w14:paraId="5DEB85C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仿宋_GB2312" w:hAnsi="宋体" w:eastAsia="仿宋_GB2312" w:cs="仿宋_GB2312"/>
                <w:i w:val="0"/>
                <w:iCs w:val="0"/>
                <w:color w:val="000000"/>
                <w:sz w:val="32"/>
                <w:szCs w:val="32"/>
                <w:highlight w:val="none"/>
                <w:u w:val="none"/>
              </w:rPr>
            </w:pPr>
          </w:p>
        </w:tc>
        <w:tc>
          <w:tcPr>
            <w:tcW w:w="4034" w:type="dxa"/>
            <w:tcBorders>
              <w:top w:val="single" w:color="000000" w:sz="4" w:space="0"/>
              <w:left w:val="single" w:color="auto" w:sz="4" w:space="0"/>
              <w:bottom w:val="single" w:color="000000" w:sz="4" w:space="0"/>
              <w:right w:val="single" w:color="000000" w:sz="4" w:space="0"/>
            </w:tcBorders>
            <w:shd w:val="clear" w:color="auto" w:fill="FBD4B4" w:themeFill="accent6" w:themeFillTint="66"/>
            <w:vAlign w:val="center"/>
          </w:tcPr>
          <w:p w14:paraId="4734013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仿宋_GB2312" w:hAnsi="宋体" w:eastAsia="仿宋_GB2312" w:cs="仿宋_GB2312"/>
                <w:i w:val="0"/>
                <w:iCs w:val="0"/>
                <w:color w:val="000000"/>
                <w:kern w:val="0"/>
                <w:sz w:val="32"/>
                <w:szCs w:val="32"/>
                <w:highlight w:val="none"/>
                <w:u w:val="none"/>
                <w:lang w:val="en-US" w:eastAsia="zh-CN" w:bidi="ar"/>
              </w:rPr>
            </w:pPr>
            <w:r>
              <w:rPr>
                <w:rFonts w:hint="eastAsia" w:ascii="仿宋_GB2312" w:hAnsi="宋体" w:eastAsia="仿宋_GB2312" w:cs="仿宋_GB2312"/>
                <w:i w:val="0"/>
                <w:iCs w:val="0"/>
                <w:color w:val="000000"/>
                <w:kern w:val="0"/>
                <w:sz w:val="32"/>
                <w:szCs w:val="32"/>
                <w:highlight w:val="none"/>
                <w:u w:val="none"/>
                <w:lang w:val="en-US" w:eastAsia="zh-CN" w:bidi="ar"/>
              </w:rPr>
              <w:t>综合艺术</w:t>
            </w:r>
            <w:r>
              <w:rPr>
                <w:rFonts w:hint="eastAsia" w:ascii="仿宋_GB2312" w:hAnsi="宋体" w:eastAsia="仿宋_GB2312" w:cs="仿宋_GB2312"/>
                <w:i w:val="0"/>
                <w:iCs w:val="0"/>
                <w:color w:val="000000"/>
                <w:kern w:val="0"/>
                <w:sz w:val="32"/>
                <w:szCs w:val="32"/>
                <w:highlight w:val="none"/>
                <w:u w:val="none"/>
                <w:lang w:val="en-US" w:eastAsia="zh-CN" w:bidi="ar"/>
              </w:rPr>
              <w:br w:type="textWrapping"/>
            </w:r>
            <w:r>
              <w:rPr>
                <w:rFonts w:hint="eastAsia" w:ascii="仿宋_GB2312" w:hAnsi="宋体" w:eastAsia="仿宋_GB2312" w:cs="仿宋_GB2312"/>
                <w:i w:val="0"/>
                <w:iCs w:val="0"/>
                <w:color w:val="000000"/>
                <w:kern w:val="0"/>
                <w:sz w:val="24"/>
                <w:szCs w:val="24"/>
                <w:highlight w:val="none"/>
                <w:u w:val="none"/>
                <w:lang w:val="en-US" w:eastAsia="zh-CN" w:bidi="ar"/>
              </w:rPr>
              <w:t>（服装表演）</w:t>
            </w:r>
          </w:p>
        </w:tc>
        <w:tc>
          <w:tcPr>
            <w:tcW w:w="2044" w:type="dxa"/>
            <w:tcBorders>
              <w:top w:val="single" w:color="000000" w:sz="4" w:space="0"/>
              <w:left w:val="single" w:color="000000" w:sz="4" w:space="0"/>
              <w:bottom w:val="single" w:color="000000" w:sz="4" w:space="0"/>
              <w:right w:val="single" w:color="000000" w:sz="4" w:space="0"/>
            </w:tcBorders>
            <w:shd w:val="clear" w:color="auto" w:fill="FBD4B4" w:themeFill="accent6" w:themeFillTint="66"/>
            <w:noWrap/>
            <w:vAlign w:val="center"/>
          </w:tcPr>
          <w:p w14:paraId="70A56B7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default" w:ascii="仿宋_GB2312" w:hAnsi="宋体" w:eastAsia="仿宋_GB2312" w:cs="仿宋_GB2312"/>
                <w:i w:val="0"/>
                <w:iCs w:val="0"/>
                <w:color w:val="000000"/>
                <w:sz w:val="32"/>
                <w:szCs w:val="32"/>
                <w:highlight w:val="none"/>
                <w:u w:val="none"/>
                <w:lang w:val="en-US"/>
              </w:rPr>
            </w:pPr>
            <w:r>
              <w:rPr>
                <w:rFonts w:hint="eastAsia" w:ascii="仿宋_GB2312" w:hAnsi="宋体" w:eastAsia="仿宋_GB2312" w:cs="仿宋_GB2312"/>
                <w:i w:val="0"/>
                <w:iCs w:val="0"/>
                <w:color w:val="000000"/>
                <w:kern w:val="0"/>
                <w:sz w:val="32"/>
                <w:szCs w:val="32"/>
                <w:highlight w:val="none"/>
                <w:u w:val="none"/>
                <w:lang w:val="en-US" w:eastAsia="zh-CN" w:bidi="ar"/>
              </w:rPr>
              <w:t>15</w:t>
            </w:r>
            <w:r>
              <w:rPr>
                <w:rFonts w:hint="eastAsia" w:ascii="仿宋_GB2312" w:hAnsi="宋体" w:cs="仿宋_GB2312"/>
                <w:i w:val="0"/>
                <w:iCs w:val="0"/>
                <w:color w:val="000000"/>
                <w:kern w:val="0"/>
                <w:sz w:val="32"/>
                <w:szCs w:val="32"/>
                <w:highlight w:val="none"/>
                <w:u w:val="none"/>
                <w:lang w:val="en-US" w:eastAsia="zh-CN" w:bidi="ar"/>
              </w:rPr>
              <w:t>人</w:t>
            </w:r>
          </w:p>
        </w:tc>
      </w:tr>
      <w:tr w14:paraId="7DC075F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0" w:hRule="atLeast"/>
        </w:trPr>
        <w:tc>
          <w:tcPr>
            <w:tcW w:w="6320" w:type="dxa"/>
            <w:gridSpan w:val="3"/>
            <w:tcBorders>
              <w:top w:val="single" w:color="000000" w:sz="4" w:space="0"/>
              <w:left w:val="single" w:color="000000" w:sz="4" w:space="0"/>
              <w:bottom w:val="single" w:color="000000" w:sz="4" w:space="0"/>
              <w:right w:val="single" w:color="000000" w:sz="4" w:space="0"/>
            </w:tcBorders>
            <w:shd w:val="clear" w:color="auto" w:fill="D7D7D7" w:themeFill="background1" w:themeFillShade="D8"/>
            <w:noWrap/>
            <w:vAlign w:val="center"/>
          </w:tcPr>
          <w:p w14:paraId="43A64F8B">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微软雅黑" w:hAnsi="微软雅黑" w:eastAsia="微软雅黑" w:cs="微软雅黑"/>
                <w:b/>
                <w:bCs/>
                <w:i w:val="0"/>
                <w:iCs w:val="0"/>
                <w:color w:val="000000" w:themeColor="text1"/>
                <w:sz w:val="32"/>
                <w:szCs w:val="32"/>
                <w:highlight w:val="none"/>
                <w:u w:val="none"/>
                <w14:textFill>
                  <w14:solidFill>
                    <w14:schemeClr w14:val="tx1"/>
                  </w14:solidFill>
                </w14:textFill>
              </w:rPr>
            </w:pPr>
            <w:r>
              <w:rPr>
                <w:rFonts w:hint="eastAsia" w:ascii="微软雅黑" w:hAnsi="微软雅黑" w:eastAsia="微软雅黑" w:cs="微软雅黑"/>
                <w:b w:val="0"/>
                <w:bCs w:val="0"/>
                <w:i w:val="0"/>
                <w:iCs w:val="0"/>
                <w:color w:val="000000" w:themeColor="text1"/>
                <w:kern w:val="0"/>
                <w:sz w:val="32"/>
                <w:szCs w:val="32"/>
                <w:highlight w:val="none"/>
                <w:u w:val="none"/>
                <w:lang w:val="en-US" w:eastAsia="zh-CN" w:bidi="ar"/>
                <w14:textFill>
                  <w14:solidFill>
                    <w14:schemeClr w14:val="tx1"/>
                  </w14:solidFill>
                </w14:textFill>
              </w:rPr>
              <w:t>总计</w:t>
            </w:r>
          </w:p>
        </w:tc>
        <w:tc>
          <w:tcPr>
            <w:tcW w:w="2044" w:type="dxa"/>
            <w:tcBorders>
              <w:top w:val="single" w:color="000000" w:sz="4" w:space="0"/>
              <w:left w:val="single" w:color="000000" w:sz="4" w:space="0"/>
              <w:bottom w:val="single" w:color="000000" w:sz="4" w:space="0"/>
              <w:right w:val="single" w:color="000000" w:sz="4" w:space="0"/>
            </w:tcBorders>
            <w:shd w:val="clear" w:color="auto" w:fill="D7D7D7" w:themeFill="background1" w:themeFillShade="D8"/>
            <w:noWrap/>
            <w:vAlign w:val="center"/>
          </w:tcPr>
          <w:p w14:paraId="2080AFE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default" w:ascii="仿宋_GB2312" w:hAnsi="宋体" w:eastAsia="仿宋_GB2312" w:cs="仿宋_GB2312"/>
                <w:i w:val="0"/>
                <w:iCs w:val="0"/>
                <w:color w:val="000000" w:themeColor="text1"/>
                <w:sz w:val="32"/>
                <w:szCs w:val="32"/>
                <w:highlight w:val="none"/>
                <w:u w:val="none"/>
                <w:lang w:val="en-US"/>
                <w14:textFill>
                  <w14:solidFill>
                    <w14:schemeClr w14:val="tx1"/>
                  </w14:solidFill>
                </w14:textFill>
              </w:rPr>
            </w:pPr>
            <w:r>
              <w:rPr>
                <w:rFonts w:hint="eastAsia" w:ascii="仿宋_GB2312" w:hAnsi="宋体" w:eastAsia="仿宋_GB2312" w:cs="仿宋_GB2312"/>
                <w:i w:val="0"/>
                <w:iCs w:val="0"/>
                <w:color w:val="000000" w:themeColor="text1"/>
                <w:kern w:val="0"/>
                <w:sz w:val="32"/>
                <w:szCs w:val="32"/>
                <w:highlight w:val="none"/>
                <w:u w:val="none"/>
                <w:lang w:val="en-US" w:eastAsia="zh-CN" w:bidi="ar"/>
                <w14:textFill>
                  <w14:solidFill>
                    <w14:schemeClr w14:val="tx1"/>
                  </w14:solidFill>
                </w14:textFill>
              </w:rPr>
              <w:t>290</w:t>
            </w:r>
            <w:r>
              <w:rPr>
                <w:rFonts w:hint="eastAsia" w:ascii="仿宋_GB2312" w:hAnsi="宋体" w:cs="仿宋_GB2312"/>
                <w:i w:val="0"/>
                <w:iCs w:val="0"/>
                <w:color w:val="000000" w:themeColor="text1"/>
                <w:kern w:val="0"/>
                <w:sz w:val="32"/>
                <w:szCs w:val="32"/>
                <w:highlight w:val="none"/>
                <w:u w:val="none"/>
                <w:lang w:val="en-US" w:eastAsia="zh-CN" w:bidi="ar"/>
                <w14:textFill>
                  <w14:solidFill>
                    <w14:schemeClr w14:val="tx1"/>
                  </w14:solidFill>
                </w14:textFill>
              </w:rPr>
              <w:t>人</w:t>
            </w:r>
          </w:p>
        </w:tc>
      </w:tr>
    </w:tbl>
    <w:p w14:paraId="5F6D53C8">
      <w:pPr>
        <w:keepNext w:val="0"/>
        <w:keepLines w:val="0"/>
        <w:pageBreakBefore w:val="0"/>
        <w:widowControl w:val="0"/>
        <w:numPr>
          <w:ilvl w:val="0"/>
          <w:numId w:val="0"/>
        </w:numPr>
        <w:kinsoku/>
        <w:wordWrap/>
        <w:overflowPunct/>
        <w:topLinePunct w:val="0"/>
        <w:autoSpaceDE/>
        <w:autoSpaceDN/>
        <w:bidi w:val="0"/>
        <w:adjustRightInd/>
        <w:snapToGrid/>
        <w:spacing w:line="578" w:lineRule="exact"/>
        <w:jc w:val="both"/>
        <w:textAlignment w:val="auto"/>
        <w:rPr>
          <w:rFonts w:hint="eastAsia" w:eastAsia="黑体" w:cs="仿宋"/>
          <w:bCs/>
          <w:color w:val="000000"/>
          <w:highlight w:val="none"/>
          <w:lang w:val="en-US" w:eastAsia="zh-CN"/>
        </w:rPr>
      </w:pPr>
    </w:p>
    <w:p w14:paraId="3A8A5A1D">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leftChars="200"/>
        <w:textAlignment w:val="auto"/>
        <w:rPr>
          <w:rFonts w:hint="eastAsia" w:ascii="宋体" w:hAnsi="宋体" w:eastAsia="黑体" w:cs="仿宋"/>
          <w:bCs/>
          <w:color w:val="000000"/>
          <w:highlight w:val="none"/>
          <w:lang w:val="en-US" w:eastAsia="zh-CN"/>
        </w:rPr>
      </w:pPr>
      <w:r>
        <w:rPr>
          <w:rFonts w:hint="eastAsia" w:eastAsia="黑体" w:cs="仿宋"/>
          <w:bCs/>
          <w:color w:val="000000"/>
          <w:highlight w:val="none"/>
          <w:lang w:val="en-US" w:eastAsia="zh-CN"/>
        </w:rPr>
        <w:t>二、</w:t>
      </w:r>
      <w:r>
        <w:rPr>
          <w:rFonts w:hint="eastAsia" w:ascii="宋体" w:hAnsi="宋体" w:eastAsia="黑体" w:cs="仿宋"/>
          <w:bCs/>
          <w:color w:val="000000"/>
          <w:highlight w:val="none"/>
          <w:lang w:val="en-US" w:eastAsia="zh-CN"/>
        </w:rPr>
        <w:t>招生对象</w:t>
      </w:r>
    </w:p>
    <w:p w14:paraId="252E35B3">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40" w:firstLineChars="200"/>
        <w:jc w:val="left"/>
        <w:textAlignment w:val="auto"/>
        <w:rPr>
          <w:rFonts w:hint="default" w:ascii="宋体" w:hAnsi="宋体" w:eastAsia="仿宋_GB2312" w:cs="仿宋_GB2312"/>
          <w:color w:val="000000"/>
          <w:sz w:val="32"/>
          <w:szCs w:val="32"/>
          <w:highlight w:val="none"/>
          <w:lang w:val="en-US" w:eastAsia="zh-CN"/>
        </w:rPr>
      </w:pPr>
      <w:r>
        <w:rPr>
          <w:rFonts w:hint="eastAsia" w:cs="仿宋_GB2312"/>
          <w:color w:val="000000"/>
          <w:sz w:val="32"/>
          <w:szCs w:val="32"/>
          <w:highlight w:val="none"/>
          <w:lang w:val="en-US" w:eastAsia="zh-CN"/>
        </w:rPr>
        <w:t>我校招生对象为中心城区（含环翠区、高区、经区、临港区）范围内的应届初中毕业生。</w:t>
      </w:r>
    </w:p>
    <w:p w14:paraId="1EC5DEAE">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40" w:firstLineChars="200"/>
        <w:jc w:val="left"/>
        <w:textAlignment w:val="auto"/>
        <w:rPr>
          <w:rFonts w:hint="default" w:ascii="宋体" w:hAnsi="宋体" w:eastAsia="黑体" w:cs="仿宋"/>
          <w:bCs/>
          <w:color w:val="000000"/>
          <w:highlight w:val="none"/>
          <w:lang w:val="en-US" w:eastAsia="zh-CN"/>
        </w:rPr>
      </w:pPr>
      <w:r>
        <w:rPr>
          <w:rFonts w:hint="eastAsia" w:ascii="宋体" w:hAnsi="宋体" w:eastAsia="黑体" w:cs="仿宋"/>
          <w:bCs/>
          <w:color w:val="000000"/>
          <w:highlight w:val="none"/>
          <w:lang w:val="en-US" w:eastAsia="zh-CN"/>
        </w:rPr>
        <w:t>三、</w:t>
      </w:r>
      <w:r>
        <w:rPr>
          <w:rFonts w:hint="eastAsia" w:eastAsia="黑体" w:cs="仿宋"/>
          <w:bCs/>
          <w:color w:val="000000"/>
          <w:highlight w:val="none"/>
          <w:lang w:val="en-US" w:eastAsia="zh-CN"/>
        </w:rPr>
        <w:t>艺术特长生专业考试</w:t>
      </w:r>
    </w:p>
    <w:p w14:paraId="07601057">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40" w:firstLineChars="200"/>
        <w:jc w:val="left"/>
        <w:textAlignment w:val="auto"/>
        <w:rPr>
          <w:rFonts w:hint="eastAsia" w:ascii="楷体_GB2312" w:hAnsi="楷体_GB2312" w:eastAsia="楷体_GB2312" w:cs="楷体_GB2312"/>
          <w:color w:val="000000"/>
          <w:highlight w:val="none"/>
          <w:lang w:val="en-US" w:eastAsia="zh-CN"/>
        </w:rPr>
      </w:pPr>
      <w:r>
        <w:rPr>
          <w:rFonts w:hint="eastAsia" w:ascii="楷体_GB2312" w:hAnsi="楷体_GB2312" w:eastAsia="楷体_GB2312" w:cs="楷体_GB2312"/>
          <w:color w:val="000000"/>
          <w:highlight w:val="none"/>
          <w:lang w:val="en-US" w:eastAsia="zh-CN"/>
        </w:rPr>
        <w:t>（一）考试报名。</w:t>
      </w:r>
    </w:p>
    <w:p w14:paraId="028DB559">
      <w:pPr>
        <w:keepNext w:val="0"/>
        <w:keepLines w:val="0"/>
        <w:pageBreakBefore w:val="0"/>
        <w:widowControl w:val="0"/>
        <w:kinsoku/>
        <w:wordWrap/>
        <w:overflowPunct/>
        <w:topLinePunct w:val="0"/>
        <w:autoSpaceDE/>
        <w:autoSpaceDN/>
        <w:bidi w:val="0"/>
        <w:adjustRightInd/>
        <w:snapToGrid/>
        <w:spacing w:line="578" w:lineRule="exact"/>
        <w:ind w:firstLine="640" w:firstLineChars="200"/>
        <w:jc w:val="left"/>
        <w:textAlignment w:val="auto"/>
        <w:rPr>
          <w:rFonts w:hint="eastAsia" w:ascii="宋体" w:hAnsi="宋体" w:cs="仿宋_GB2312"/>
          <w:color w:val="auto"/>
          <w:sz w:val="32"/>
          <w:szCs w:val="32"/>
          <w:highlight w:val="none"/>
          <w:lang w:val="en-US" w:eastAsia="zh-CN"/>
        </w:rPr>
      </w:pPr>
      <w:r>
        <w:rPr>
          <w:rFonts w:hint="eastAsia" w:ascii="宋体" w:hAnsi="宋体" w:cs="仿宋_GB2312"/>
          <w:color w:val="auto"/>
          <w:sz w:val="32"/>
          <w:szCs w:val="32"/>
          <w:highlight w:val="none"/>
          <w:lang w:val="en-US" w:eastAsia="zh-CN"/>
        </w:rPr>
        <w:t>特长生专业考试报名时间为3月1</w:t>
      </w:r>
      <w:r>
        <w:rPr>
          <w:rFonts w:hint="default" w:cs="仿宋_GB2312"/>
          <w:color w:val="auto"/>
          <w:sz w:val="32"/>
          <w:szCs w:val="32"/>
          <w:highlight w:val="none"/>
          <w:lang w:eastAsia="zh-CN"/>
          <w:woUserID w:val="1"/>
        </w:rPr>
        <w:t>3</w:t>
      </w:r>
      <w:r>
        <w:rPr>
          <w:rFonts w:hint="eastAsia" w:ascii="宋体" w:hAnsi="宋体" w:cs="仿宋_GB2312"/>
          <w:color w:val="auto"/>
          <w:sz w:val="32"/>
          <w:szCs w:val="32"/>
          <w:highlight w:val="none"/>
          <w:lang w:val="en-US" w:eastAsia="zh-CN"/>
        </w:rPr>
        <w:t>日</w:t>
      </w:r>
      <w:r>
        <w:rPr>
          <w:rFonts w:hint="default" w:cs="仿宋_GB2312"/>
          <w:color w:val="auto"/>
          <w:sz w:val="32"/>
          <w:szCs w:val="32"/>
          <w:highlight w:val="none"/>
          <w:lang w:eastAsia="zh-CN"/>
          <w:woUserID w:val="1"/>
        </w:rPr>
        <w:t>8：30</w:t>
      </w:r>
      <w:r>
        <w:rPr>
          <w:rFonts w:hint="eastAsia" w:ascii="宋体" w:hAnsi="宋体" w:cs="仿宋_GB2312"/>
          <w:color w:val="auto"/>
          <w:sz w:val="32"/>
          <w:szCs w:val="32"/>
          <w:highlight w:val="none"/>
          <w:lang w:val="en-US" w:eastAsia="zh-CN"/>
        </w:rPr>
        <w:t>至1</w:t>
      </w:r>
      <w:r>
        <w:rPr>
          <w:rFonts w:hint="default" w:cs="仿宋_GB2312"/>
          <w:color w:val="auto"/>
          <w:sz w:val="32"/>
          <w:szCs w:val="32"/>
          <w:highlight w:val="none"/>
          <w:lang w:eastAsia="zh-CN"/>
          <w:woUserID w:val="1"/>
        </w:rPr>
        <w:t>4日17：30</w:t>
      </w:r>
      <w:r>
        <w:rPr>
          <w:rFonts w:hint="eastAsia" w:ascii="宋体" w:hAnsi="宋体" w:cs="仿宋_GB2312"/>
          <w:color w:val="auto"/>
          <w:sz w:val="32"/>
          <w:szCs w:val="32"/>
          <w:highlight w:val="none"/>
          <w:lang w:val="en-US" w:eastAsia="zh-CN"/>
        </w:rPr>
        <w:t xml:space="preserve">日，考生登录威海市教育局网站（http://jyj.weihai.gov.cn/），点击“招生考试”，选择“威海市高中段学校统一考试招生录取管理系统（考生登陆）”，按要求报名。考生需在规定的时间内正确选择项目完成报考，逾期不得补报或修改报考信息。 </w:t>
      </w:r>
    </w:p>
    <w:p w14:paraId="37673E36">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40" w:firstLineChars="200"/>
        <w:jc w:val="left"/>
        <w:textAlignment w:val="auto"/>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color w:val="auto"/>
          <w:sz w:val="32"/>
          <w:szCs w:val="32"/>
          <w:highlight w:val="none"/>
          <w:lang w:val="en-US" w:eastAsia="zh-CN"/>
        </w:rPr>
        <w:t>1.</w:t>
      </w:r>
      <w:r>
        <w:rPr>
          <w:rFonts w:hint="eastAsia" w:ascii="仿宋_GB2312" w:hAnsi="仿宋_GB2312" w:eastAsia="仿宋_GB2312" w:cs="仿宋_GB2312"/>
          <w:color w:val="auto"/>
          <w:sz w:val="32"/>
          <w:szCs w:val="32"/>
          <w:highlight w:val="none"/>
        </w:rPr>
        <w:t>美术、音乐、综合艺术</w:t>
      </w:r>
      <w:r>
        <w:rPr>
          <w:rFonts w:hint="eastAsia" w:ascii="仿宋_GB2312" w:hAnsi="仿宋_GB2312" w:cs="仿宋_GB2312"/>
          <w:color w:val="auto"/>
          <w:sz w:val="32"/>
          <w:szCs w:val="32"/>
          <w:highlight w:val="none"/>
          <w:lang w:eastAsia="zh-CN"/>
        </w:rPr>
        <w:t>（</w:t>
      </w:r>
      <w:r>
        <w:rPr>
          <w:rFonts w:hint="eastAsia" w:ascii="仿宋_GB2312" w:hAnsi="仿宋_GB2312" w:cs="仿宋_GB2312"/>
          <w:color w:val="auto"/>
          <w:sz w:val="32"/>
          <w:szCs w:val="32"/>
          <w:highlight w:val="none"/>
          <w:lang w:val="en-US" w:eastAsia="zh-CN"/>
        </w:rPr>
        <w:t>服装表演</w:t>
      </w:r>
      <w:r>
        <w:rPr>
          <w:rFonts w:hint="eastAsia" w:ascii="仿宋_GB2312" w:hAnsi="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各类别之间不允许兼报，音乐中声乐、器乐、舞蹈等专业不得兼报</w:t>
      </w:r>
      <w:r>
        <w:rPr>
          <w:rFonts w:hint="eastAsia" w:ascii="仿宋_GB2312" w:hAnsi="仿宋_GB2312" w:eastAsia="仿宋_GB2312" w:cs="仿宋_GB2312"/>
          <w:color w:val="auto"/>
          <w:sz w:val="32"/>
          <w:szCs w:val="32"/>
          <w:highlight w:val="none"/>
          <w:lang w:eastAsia="zh-CN"/>
        </w:rPr>
        <w:t>。</w:t>
      </w:r>
    </w:p>
    <w:p w14:paraId="4D285D25">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000000"/>
          <w:highlight w:val="none"/>
          <w:lang w:val="en-US" w:eastAsia="zh-CN"/>
        </w:rPr>
        <w:t>2.</w:t>
      </w:r>
      <w:r>
        <w:rPr>
          <w:rFonts w:hint="eastAsia" w:ascii="仿宋_GB2312" w:hAnsi="仿宋_GB2312" w:eastAsia="仿宋_GB2312" w:cs="仿宋_GB2312"/>
          <w:color w:val="auto"/>
          <w:sz w:val="32"/>
          <w:szCs w:val="32"/>
          <w:highlight w:val="none"/>
          <w:lang w:eastAsia="zh-CN"/>
        </w:rPr>
        <w:t>器乐考试，对乐器</w:t>
      </w:r>
      <w:r>
        <w:rPr>
          <w:rFonts w:hint="eastAsia" w:ascii="仿宋_GB2312" w:hAnsi="仿宋_GB2312" w:eastAsia="仿宋_GB2312" w:cs="仿宋_GB2312"/>
          <w:color w:val="auto"/>
          <w:sz w:val="32"/>
          <w:szCs w:val="32"/>
          <w:highlight w:val="none"/>
        </w:rPr>
        <w:t>种类</w:t>
      </w:r>
      <w:r>
        <w:rPr>
          <w:rFonts w:hint="eastAsia" w:ascii="仿宋_GB2312" w:hAnsi="仿宋_GB2312" w:eastAsia="仿宋_GB2312" w:cs="仿宋_GB2312"/>
          <w:color w:val="auto"/>
          <w:sz w:val="32"/>
          <w:szCs w:val="32"/>
          <w:highlight w:val="none"/>
          <w:lang w:eastAsia="zh-CN"/>
        </w:rPr>
        <w:t>规定如下</w:t>
      </w:r>
      <w:r>
        <w:rPr>
          <w:rFonts w:hint="eastAsia" w:ascii="仿宋_GB2312" w:hAnsi="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仅限管弦乐、键盘类(打击类乐器不在招考范围之内)。</w:t>
      </w:r>
    </w:p>
    <w:p w14:paraId="4A7F92C5">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lang w:eastAsia="zh-CN"/>
        </w:rPr>
        <w:t>舞蹈考试有如下规定：招收种类</w:t>
      </w:r>
      <w:r>
        <w:rPr>
          <w:rFonts w:hint="eastAsia" w:ascii="仿宋_GB2312" w:hAnsi="仿宋_GB2312" w:eastAsia="仿宋_GB2312" w:cs="仿宋_GB2312"/>
          <w:color w:val="auto"/>
          <w:sz w:val="32"/>
          <w:szCs w:val="32"/>
          <w:highlight w:val="none"/>
          <w:lang w:val="en-US" w:eastAsia="zh-CN"/>
        </w:rPr>
        <w:t>以民族舞、古典舞、当代舞、芭蕾舞为主（</w:t>
      </w:r>
      <w:r>
        <w:rPr>
          <w:rFonts w:hint="eastAsia" w:ascii="仿宋_GB2312" w:hAnsi="仿宋_GB2312" w:eastAsia="仿宋_GB2312" w:cs="仿宋_GB2312"/>
          <w:color w:val="auto"/>
          <w:sz w:val="32"/>
          <w:szCs w:val="32"/>
          <w:highlight w:val="none"/>
        </w:rPr>
        <w:t>不包括体育舞蹈</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流行舞蹈</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eastAsia="zh-CN"/>
        </w:rPr>
        <w:t>。</w:t>
      </w:r>
    </w:p>
    <w:p w14:paraId="36A37362">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40" w:firstLineChars="200"/>
        <w:jc w:val="left"/>
        <w:textAlignment w:val="auto"/>
        <w:rPr>
          <w:rFonts w:hint="eastAsia" w:ascii="宋体" w:hAnsi="宋体" w:eastAsia="仿宋_GB2312" w:cs="仿宋_GB2312"/>
          <w:color w:val="auto"/>
          <w:sz w:val="32"/>
          <w:szCs w:val="32"/>
          <w:highlight w:val="none"/>
          <w:lang w:val="en-US" w:eastAsia="zh-CN"/>
        </w:rPr>
      </w:pPr>
      <w:r>
        <w:rPr>
          <w:rFonts w:hint="eastAsia" w:cs="仿宋_GB2312"/>
          <w:color w:val="auto"/>
          <w:sz w:val="32"/>
          <w:szCs w:val="32"/>
          <w:highlight w:val="none"/>
          <w:lang w:val="en-US" w:eastAsia="zh-CN"/>
        </w:rPr>
        <w:t>4.</w:t>
      </w:r>
      <w:r>
        <w:rPr>
          <w:rFonts w:hint="eastAsia" w:ascii="宋体" w:hAnsi="宋体" w:eastAsia="仿宋_GB2312" w:cs="仿宋_GB2312"/>
          <w:color w:val="auto"/>
          <w:sz w:val="32"/>
          <w:szCs w:val="32"/>
          <w:highlight w:val="none"/>
          <w:lang w:val="en-US" w:eastAsia="zh-CN"/>
        </w:rPr>
        <w:t>已被高水平艺术团确认为专业合格的考生，不得参加艺术特长生专业统考。</w:t>
      </w:r>
    </w:p>
    <w:p w14:paraId="1F542DF8">
      <w:pPr>
        <w:overflowPunct w:val="0"/>
        <w:spacing w:line="578" w:lineRule="exact"/>
        <w:ind w:firstLine="640" w:firstLineChars="200"/>
        <w:rPr>
          <w:rFonts w:hint="default" w:ascii="仿宋_GB2312" w:hAnsi="仿宋_GB2312" w:eastAsia="仿宋_GB2312" w:cs="仿宋_GB2312"/>
          <w:strike/>
          <w:color w:val="FF0000"/>
          <w:sz w:val="32"/>
          <w:szCs w:val="32"/>
          <w:highlight w:val="none"/>
          <w:lang w:val="en-US" w:eastAsia="zh-CN"/>
        </w:rPr>
      </w:pPr>
      <w:r>
        <w:rPr>
          <w:rFonts w:hint="eastAsia" w:ascii="宋体" w:hAnsi="宋体" w:eastAsia="仿宋_GB2312" w:cs="仿宋_GB2312"/>
          <w:color w:val="auto"/>
          <w:sz w:val="32"/>
          <w:szCs w:val="32"/>
          <w:highlight w:val="none"/>
          <w:lang w:val="en-US" w:eastAsia="zh-CN"/>
        </w:rPr>
        <w:t>5.高水平合唱团的考生可兼报我校声乐，高水平管弦乐团的考生可兼报我校器乐，高水平舞蹈团的考生可兼报我校舞蹈</w:t>
      </w:r>
      <w:r>
        <w:rPr>
          <w:rFonts w:hint="eastAsia" w:ascii="仿宋_GB2312" w:hAnsi="仿宋_GB2312" w:cs="仿宋_GB2312"/>
          <w:color w:val="auto"/>
          <w:sz w:val="32"/>
          <w:szCs w:val="32"/>
          <w:highlight w:val="none"/>
          <w:lang w:eastAsia="zh-CN"/>
        </w:rPr>
        <w:t>。</w:t>
      </w:r>
    </w:p>
    <w:p w14:paraId="4BBDCA2F">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40" w:firstLineChars="200"/>
        <w:jc w:val="left"/>
        <w:textAlignment w:val="auto"/>
        <w:rPr>
          <w:rFonts w:hint="eastAsia" w:ascii="楷体_GB2312" w:hAnsi="楷体_GB2312" w:eastAsia="楷体_GB2312" w:cs="楷体_GB2312"/>
          <w:color w:val="000000"/>
          <w:highlight w:val="none"/>
          <w:lang w:val="en-US" w:eastAsia="zh-CN"/>
        </w:rPr>
      </w:pPr>
      <w:r>
        <w:rPr>
          <w:rFonts w:hint="eastAsia" w:ascii="楷体_GB2312" w:hAnsi="楷体_GB2312" w:eastAsia="楷体_GB2312" w:cs="楷体_GB2312"/>
          <w:color w:val="000000"/>
          <w:highlight w:val="none"/>
          <w:lang w:val="en-US" w:eastAsia="zh-CN"/>
        </w:rPr>
        <w:t>（二）考试时间及地点。</w:t>
      </w:r>
    </w:p>
    <w:p w14:paraId="155B7D31">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宋体" w:hAnsi="宋体" w:eastAsia="仿宋_GB2312" w:cs="仿宋_GB2312"/>
          <w:color w:val="auto"/>
          <w:sz w:val="32"/>
          <w:szCs w:val="32"/>
          <w:highlight w:val="none"/>
          <w:lang w:val="en-US" w:eastAsia="zh-CN"/>
        </w:rPr>
      </w:pPr>
      <w:r>
        <w:rPr>
          <w:rFonts w:hint="eastAsia" w:ascii="宋体" w:hAnsi="宋体" w:eastAsia="仿宋_GB2312" w:cs="仿宋_GB2312"/>
          <w:color w:val="auto"/>
          <w:sz w:val="32"/>
          <w:szCs w:val="32"/>
          <w:highlight w:val="none"/>
          <w:lang w:val="en-US" w:eastAsia="zh-CN"/>
        </w:rPr>
        <w:t>3月</w:t>
      </w:r>
      <w:r>
        <w:rPr>
          <w:rFonts w:hint="eastAsia" w:cs="仿宋_GB2312"/>
          <w:color w:val="auto"/>
          <w:sz w:val="32"/>
          <w:szCs w:val="32"/>
          <w:highlight w:val="none"/>
          <w:lang w:val="en-US" w:eastAsia="zh-CN"/>
        </w:rPr>
        <w:t>22</w:t>
      </w:r>
      <w:r>
        <w:rPr>
          <w:rFonts w:hint="eastAsia" w:ascii="宋体" w:hAnsi="宋体" w:eastAsia="仿宋_GB2312" w:cs="仿宋_GB2312"/>
          <w:color w:val="auto"/>
          <w:sz w:val="32"/>
          <w:szCs w:val="32"/>
          <w:highlight w:val="none"/>
          <w:lang w:val="en-US" w:eastAsia="zh-CN"/>
        </w:rPr>
        <w:t>日至</w:t>
      </w:r>
      <w:r>
        <w:rPr>
          <w:rFonts w:hint="eastAsia" w:cs="仿宋_GB2312"/>
          <w:color w:val="auto"/>
          <w:sz w:val="32"/>
          <w:szCs w:val="32"/>
          <w:highlight w:val="none"/>
          <w:lang w:val="en-US" w:eastAsia="zh-CN"/>
        </w:rPr>
        <w:t>23</w:t>
      </w:r>
      <w:r>
        <w:rPr>
          <w:rFonts w:hint="eastAsia" w:ascii="宋体" w:hAnsi="宋体" w:eastAsia="仿宋_GB2312" w:cs="仿宋_GB2312"/>
          <w:color w:val="auto"/>
          <w:sz w:val="32"/>
          <w:szCs w:val="32"/>
          <w:highlight w:val="none"/>
          <w:lang w:val="en-US" w:eastAsia="zh-CN"/>
        </w:rPr>
        <w:t>日</w:t>
      </w:r>
      <w:r>
        <w:rPr>
          <w:rFonts w:hint="eastAsia" w:cs="仿宋_GB2312"/>
          <w:color w:val="auto"/>
          <w:sz w:val="32"/>
          <w:szCs w:val="32"/>
          <w:highlight w:val="none"/>
          <w:lang w:val="en-US" w:eastAsia="zh-CN"/>
        </w:rPr>
        <w:t>，</w:t>
      </w:r>
      <w:r>
        <w:rPr>
          <w:rFonts w:hint="eastAsia" w:ascii="宋体" w:hAnsi="宋体" w:eastAsia="仿宋_GB2312" w:cs="仿宋_GB2312"/>
          <w:color w:val="auto"/>
          <w:sz w:val="32"/>
          <w:szCs w:val="32"/>
          <w:highlight w:val="none"/>
          <w:lang w:val="en-US" w:eastAsia="zh-CN"/>
        </w:rPr>
        <w:t>山东省威海艺术学校</w:t>
      </w:r>
      <w:r>
        <w:rPr>
          <w:rFonts w:hint="eastAsia" w:cs="仿宋_GB2312"/>
          <w:color w:val="auto"/>
          <w:sz w:val="32"/>
          <w:szCs w:val="32"/>
          <w:highlight w:val="none"/>
          <w:lang w:val="en-US" w:eastAsia="zh-CN"/>
        </w:rPr>
        <w:t>（威海市沈阳中路276号）。</w:t>
      </w:r>
    </w:p>
    <w:p w14:paraId="36332789">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40" w:firstLineChars="200"/>
        <w:jc w:val="left"/>
        <w:textAlignment w:val="auto"/>
        <w:rPr>
          <w:rFonts w:hint="default" w:ascii="楷体_GB2312" w:hAnsi="楷体_GB2312" w:eastAsia="楷体_GB2312" w:cs="楷体_GB2312"/>
          <w:color w:val="000000"/>
          <w:highlight w:val="none"/>
          <w:lang w:val="en-US" w:eastAsia="zh-CN"/>
        </w:rPr>
      </w:pPr>
      <w:r>
        <w:rPr>
          <w:rFonts w:hint="eastAsia" w:ascii="楷体_GB2312" w:hAnsi="楷体_GB2312" w:eastAsia="楷体_GB2312" w:cs="楷体_GB2312"/>
          <w:color w:val="000000"/>
          <w:highlight w:val="none"/>
          <w:lang w:val="en-US" w:eastAsia="zh-CN"/>
        </w:rPr>
        <w:t>（三）考试内容。</w:t>
      </w:r>
    </w:p>
    <w:p w14:paraId="347A48AA">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宋体" w:hAnsi="宋体" w:eastAsia="仿宋_GB2312" w:cs="仿宋_GB2312"/>
          <w:color w:val="auto"/>
          <w:sz w:val="32"/>
          <w:szCs w:val="32"/>
          <w:highlight w:val="none"/>
          <w:lang w:eastAsia="zh-CN"/>
        </w:rPr>
      </w:pPr>
      <w:r>
        <w:rPr>
          <w:rFonts w:hint="eastAsia" w:ascii="宋体" w:hAnsi="宋体" w:eastAsia="仿宋_GB2312" w:cs="仿宋_GB2312"/>
          <w:color w:val="auto"/>
          <w:sz w:val="32"/>
          <w:szCs w:val="32"/>
          <w:highlight w:val="none"/>
          <w:lang w:val="en-US" w:eastAsia="zh-CN"/>
        </w:rPr>
        <w:t>美术、音乐</w:t>
      </w:r>
      <w:r>
        <w:rPr>
          <w:rFonts w:hint="eastAsia" w:cs="仿宋_GB2312"/>
          <w:color w:val="auto"/>
          <w:sz w:val="32"/>
          <w:szCs w:val="32"/>
          <w:highlight w:val="none"/>
          <w:lang w:val="en-US" w:eastAsia="zh-CN"/>
        </w:rPr>
        <w:t>专业</w:t>
      </w:r>
      <w:r>
        <w:rPr>
          <w:rFonts w:hint="eastAsia" w:ascii="宋体" w:hAnsi="宋体" w:eastAsia="仿宋_GB2312" w:cs="仿宋_GB2312"/>
          <w:color w:val="auto"/>
          <w:sz w:val="32"/>
          <w:szCs w:val="32"/>
          <w:highlight w:val="none"/>
        </w:rPr>
        <w:t>考试</w:t>
      </w:r>
      <w:r>
        <w:rPr>
          <w:rFonts w:hint="eastAsia" w:ascii="宋体" w:hAnsi="宋体" w:eastAsia="仿宋_GB2312" w:cs="仿宋_GB2312"/>
          <w:color w:val="auto"/>
          <w:sz w:val="32"/>
          <w:szCs w:val="32"/>
          <w:highlight w:val="none"/>
          <w:lang w:val="en-US" w:eastAsia="zh-CN"/>
        </w:rPr>
        <w:t>内容及要求</w:t>
      </w:r>
      <w:r>
        <w:rPr>
          <w:rFonts w:hint="eastAsia" w:cs="仿宋_GB2312"/>
          <w:color w:val="auto"/>
          <w:sz w:val="32"/>
          <w:szCs w:val="32"/>
          <w:highlight w:val="none"/>
          <w:lang w:val="en-US" w:eastAsia="zh-CN"/>
        </w:rPr>
        <w:t>，</w:t>
      </w:r>
      <w:r>
        <w:rPr>
          <w:rFonts w:hint="eastAsia" w:ascii="仿宋_GB2312" w:hAnsi="仿宋_GB2312" w:eastAsia="仿宋_GB2312" w:cs="仿宋_GB2312"/>
          <w:kern w:val="0"/>
          <w:sz w:val="32"/>
          <w:szCs w:val="32"/>
          <w:highlight w:val="none"/>
        </w:rPr>
        <w:t>详见市教育招生考试院下发的相关文件</w:t>
      </w:r>
      <w:r>
        <w:rPr>
          <w:rFonts w:hint="eastAsia" w:ascii="宋体" w:hAnsi="宋体" w:eastAsia="仿宋_GB2312" w:cs="仿宋_GB2312"/>
          <w:color w:val="auto"/>
          <w:sz w:val="32"/>
          <w:szCs w:val="32"/>
          <w:highlight w:val="none"/>
          <w:lang w:eastAsia="zh-CN"/>
        </w:rPr>
        <w:t>。</w:t>
      </w:r>
    </w:p>
    <w:p w14:paraId="7F60757A">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宋体" w:hAnsi="宋体" w:eastAsia="仿宋_GB2312" w:cs="仿宋_GB2312"/>
          <w:color w:val="auto"/>
          <w:sz w:val="32"/>
          <w:szCs w:val="32"/>
          <w:highlight w:val="none"/>
          <w:lang w:val="en-US" w:eastAsia="zh-CN"/>
        </w:rPr>
      </w:pPr>
      <w:r>
        <w:rPr>
          <w:rFonts w:hint="eastAsia" w:cs="仿宋_GB2312"/>
          <w:color w:val="auto"/>
          <w:sz w:val="32"/>
          <w:szCs w:val="32"/>
          <w:highlight w:val="none"/>
          <w:lang w:val="en-US" w:eastAsia="zh-CN"/>
        </w:rPr>
        <w:t>综合艺术（服装表演）专业考试内容及要求详见附件</w:t>
      </w:r>
      <w:r>
        <w:rPr>
          <w:rFonts w:hint="eastAsia" w:ascii="宋体" w:hAnsi="宋体" w:eastAsia="仿宋_GB2312" w:cs="仿宋_GB2312"/>
          <w:color w:val="auto"/>
          <w:sz w:val="32"/>
          <w:szCs w:val="32"/>
          <w:highlight w:val="none"/>
          <w:lang w:val="en-US" w:eastAsia="zh-CN"/>
        </w:rPr>
        <w:t>。</w:t>
      </w:r>
    </w:p>
    <w:p w14:paraId="3306DFA9">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40" w:firstLineChars="200"/>
        <w:jc w:val="left"/>
        <w:textAlignment w:val="auto"/>
        <w:rPr>
          <w:rFonts w:hint="eastAsia" w:ascii="楷体_GB2312" w:hAnsi="楷体_GB2312" w:eastAsia="楷体_GB2312" w:cs="楷体_GB2312"/>
          <w:color w:val="000000"/>
          <w:highlight w:val="none"/>
          <w:lang w:val="en-US" w:eastAsia="zh-CN"/>
        </w:rPr>
      </w:pPr>
      <w:r>
        <w:rPr>
          <w:rFonts w:hint="eastAsia" w:ascii="楷体_GB2312" w:hAnsi="楷体_GB2312" w:eastAsia="楷体_GB2312" w:cs="楷体_GB2312"/>
          <w:color w:val="000000"/>
          <w:highlight w:val="none"/>
          <w:lang w:val="en-US" w:eastAsia="zh-CN"/>
        </w:rPr>
        <w:t>（四）成绩查询。</w:t>
      </w:r>
    </w:p>
    <w:p w14:paraId="121BE1DA">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bCs/>
          <w:color w:val="000000"/>
          <w:highlight w:val="none"/>
          <w:lang w:val="en-US" w:eastAsia="zh-CN"/>
        </w:rPr>
      </w:pPr>
      <w:r>
        <w:rPr>
          <w:rFonts w:hint="eastAsia" w:ascii="仿宋_GB2312" w:hAnsi="仿宋_GB2312" w:cs="仿宋_GB2312"/>
          <w:bCs/>
          <w:color w:val="000000"/>
          <w:highlight w:val="none"/>
          <w:lang w:val="en-US" w:eastAsia="zh-CN"/>
        </w:rPr>
        <w:t>3</w:t>
      </w:r>
      <w:r>
        <w:rPr>
          <w:rFonts w:hint="eastAsia" w:ascii="仿宋_GB2312" w:hAnsi="仿宋_GB2312" w:eastAsia="仿宋_GB2312" w:cs="仿宋_GB2312"/>
          <w:bCs/>
          <w:color w:val="000000"/>
          <w:highlight w:val="none"/>
          <w:lang w:val="en-US" w:eastAsia="zh-CN"/>
        </w:rPr>
        <w:t>月</w:t>
      </w:r>
      <w:r>
        <w:rPr>
          <w:rFonts w:hint="eastAsia" w:ascii="仿宋_GB2312" w:hAnsi="仿宋_GB2312" w:cs="仿宋_GB2312"/>
          <w:bCs/>
          <w:color w:val="000000"/>
          <w:highlight w:val="none"/>
          <w:lang w:val="en-US" w:eastAsia="zh-CN"/>
        </w:rPr>
        <w:t>25</w:t>
      </w:r>
      <w:r>
        <w:rPr>
          <w:rFonts w:hint="eastAsia" w:ascii="仿宋_GB2312" w:hAnsi="仿宋_GB2312" w:eastAsia="仿宋_GB2312" w:cs="仿宋_GB2312"/>
          <w:bCs/>
          <w:color w:val="000000"/>
          <w:highlight w:val="none"/>
          <w:lang w:val="en-US" w:eastAsia="zh-CN"/>
        </w:rPr>
        <w:t>日公布专业考</w:t>
      </w:r>
      <w:r>
        <w:rPr>
          <w:rFonts w:hint="eastAsia" w:ascii="仿宋_GB2312" w:hAnsi="仿宋_GB2312" w:cs="仿宋_GB2312"/>
          <w:bCs/>
          <w:color w:val="000000"/>
          <w:highlight w:val="none"/>
          <w:lang w:val="en-US" w:eastAsia="zh-CN"/>
        </w:rPr>
        <w:t>试</w:t>
      </w:r>
      <w:r>
        <w:rPr>
          <w:rFonts w:hint="eastAsia" w:ascii="仿宋_GB2312" w:hAnsi="仿宋_GB2312" w:eastAsia="仿宋_GB2312" w:cs="仿宋_GB2312"/>
          <w:bCs/>
          <w:color w:val="000000"/>
          <w:highlight w:val="none"/>
          <w:lang w:val="en-US" w:eastAsia="zh-CN"/>
        </w:rPr>
        <w:t>成绩，考生登录威海市教育局网站（http://jyj.weihai.gov.cn/），点击“招生考试”，选择“威海市高中段学校统一考试招生录取管理系统（考生登陆）”进入查询</w:t>
      </w:r>
      <w:r>
        <w:rPr>
          <w:rFonts w:hint="eastAsia" w:ascii="仿宋_GB2312" w:hAnsi="仿宋_GB2312" w:cs="仿宋_GB2312"/>
          <w:bCs/>
          <w:color w:val="000000"/>
          <w:highlight w:val="none"/>
          <w:lang w:val="en-US" w:eastAsia="zh-CN"/>
        </w:rPr>
        <w:t>。</w:t>
      </w:r>
    </w:p>
    <w:p w14:paraId="40627D9C">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40" w:firstLineChars="200"/>
        <w:jc w:val="left"/>
        <w:textAlignment w:val="auto"/>
        <w:rPr>
          <w:rFonts w:hint="default" w:ascii="楷体_GB2312" w:hAnsi="楷体_GB2312" w:eastAsia="楷体_GB2312" w:cs="楷体_GB2312"/>
          <w:color w:val="000000"/>
          <w:highlight w:val="none"/>
          <w:lang w:val="en-US" w:eastAsia="zh-CN"/>
        </w:rPr>
      </w:pPr>
      <w:r>
        <w:rPr>
          <w:rFonts w:hint="eastAsia" w:ascii="楷体_GB2312" w:hAnsi="楷体_GB2312" w:eastAsia="楷体_GB2312" w:cs="楷体_GB2312"/>
          <w:color w:val="000000"/>
          <w:highlight w:val="none"/>
          <w:lang w:val="en-US" w:eastAsia="zh-CN"/>
        </w:rPr>
        <w:t>（五）专业合格划定。</w:t>
      </w:r>
    </w:p>
    <w:p w14:paraId="1752B584">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40" w:firstLineChars="200"/>
        <w:jc w:val="left"/>
        <w:textAlignment w:val="auto"/>
        <w:rPr>
          <w:rFonts w:hint="default" w:cs="仿宋_GB2312"/>
          <w:color w:val="000000"/>
          <w:highlight w:val="none"/>
          <w:lang w:val="en-US" w:eastAsia="zh-CN"/>
        </w:rPr>
      </w:pPr>
      <w:r>
        <w:rPr>
          <w:rFonts w:hint="eastAsia" w:cs="仿宋_GB2312"/>
          <w:color w:val="000000"/>
          <w:highlight w:val="none"/>
          <w:lang w:val="en-US" w:eastAsia="zh-CN"/>
        </w:rPr>
        <w:t>1.统考专业（美术、音乐）。</w:t>
      </w:r>
    </w:p>
    <w:p w14:paraId="67AD9225">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40" w:firstLineChars="200"/>
        <w:jc w:val="left"/>
        <w:textAlignment w:val="auto"/>
        <w:rPr>
          <w:rFonts w:hint="eastAsia" w:ascii="宋体" w:hAnsi="宋体" w:eastAsia="仿宋_GB2312" w:cs="仿宋_GB2312"/>
          <w:color w:val="000000"/>
          <w:highlight w:val="none"/>
          <w:lang w:val="en-US" w:eastAsia="zh-CN"/>
        </w:rPr>
      </w:pPr>
      <w:r>
        <w:rPr>
          <w:rFonts w:hint="eastAsia" w:cs="仿宋_GB2312"/>
          <w:color w:val="000000"/>
          <w:highlight w:val="none"/>
          <w:lang w:val="en-US" w:eastAsia="zh-CN"/>
        </w:rPr>
        <w:t>美术按中心城区普通高中招生计划总数</w:t>
      </w:r>
      <w:r>
        <w:rPr>
          <w:rFonts w:hint="eastAsia" w:ascii="仿宋_GB2312" w:hAnsi="仿宋_GB2312" w:eastAsia="仿宋_GB2312" w:cs="仿宋_GB2312"/>
          <w:color w:val="000000"/>
          <w:highlight w:val="none"/>
          <w:lang w:val="en-US" w:eastAsia="zh-CN"/>
        </w:rPr>
        <w:t>1：2</w:t>
      </w:r>
      <w:r>
        <w:rPr>
          <w:rFonts w:hint="eastAsia" w:cs="仿宋_GB2312"/>
          <w:color w:val="000000"/>
          <w:highlight w:val="none"/>
          <w:lang w:val="en-US" w:eastAsia="zh-CN"/>
        </w:rPr>
        <w:t>的比例划定专业考试合格线，确定专业合格名单；</w:t>
      </w:r>
      <w:r>
        <w:rPr>
          <w:rFonts w:hint="eastAsia" w:ascii="仿宋_GB2312" w:hAnsi="仿宋_GB2312" w:eastAsia="仿宋_GB2312" w:cs="仿宋_GB2312"/>
          <w:b w:val="0"/>
          <w:bCs w:val="0"/>
          <w:color w:val="auto"/>
          <w:sz w:val="32"/>
          <w:szCs w:val="32"/>
          <w:highlight w:val="none"/>
        </w:rPr>
        <w:t>音乐</w:t>
      </w:r>
      <w:r>
        <w:rPr>
          <w:rFonts w:hint="eastAsia" w:ascii="仿宋_GB2312" w:hAnsi="仿宋_GB2312" w:eastAsia="仿宋_GB2312" w:cs="仿宋_GB2312"/>
          <w:b w:val="0"/>
          <w:bCs w:val="0"/>
          <w:color w:val="auto"/>
          <w:sz w:val="32"/>
          <w:szCs w:val="32"/>
          <w:highlight w:val="none"/>
          <w:lang w:eastAsia="zh-CN"/>
        </w:rPr>
        <w:t>分别按</w:t>
      </w:r>
      <w:r>
        <w:rPr>
          <w:rFonts w:hint="eastAsia" w:cs="仿宋_GB2312"/>
          <w:color w:val="000000"/>
          <w:highlight w:val="none"/>
          <w:lang w:val="en-US" w:eastAsia="zh-CN"/>
        </w:rPr>
        <w:t>中心城区普通高中</w:t>
      </w:r>
      <w:r>
        <w:rPr>
          <w:rFonts w:hint="eastAsia" w:ascii="仿宋_GB2312" w:hAnsi="仿宋_GB2312" w:eastAsia="仿宋_GB2312" w:cs="仿宋_GB2312"/>
          <w:b w:val="0"/>
          <w:bCs w:val="0"/>
          <w:color w:val="auto"/>
          <w:sz w:val="32"/>
          <w:szCs w:val="32"/>
          <w:highlight w:val="none"/>
          <w:lang w:eastAsia="zh-CN"/>
        </w:rPr>
        <w:t>各个项目（声乐、器乐、舞蹈）招生计划数</w:t>
      </w:r>
      <w:r>
        <w:rPr>
          <w:rFonts w:hint="eastAsia" w:ascii="仿宋_GB2312" w:hAnsi="仿宋_GB2312" w:eastAsia="仿宋_GB2312" w:cs="仿宋_GB2312"/>
          <w:b w:val="0"/>
          <w:bCs w:val="0"/>
          <w:color w:val="auto"/>
          <w:sz w:val="32"/>
          <w:szCs w:val="32"/>
          <w:highlight w:val="none"/>
        </w:rPr>
        <w:t>1∶1.5的比例划定专业考试合格线</w:t>
      </w:r>
      <w:r>
        <w:rPr>
          <w:rFonts w:hint="eastAsia" w:ascii="仿宋_GB2312" w:hAnsi="仿宋_GB2312" w:eastAsia="仿宋_GB2312" w:cs="仿宋_GB2312"/>
          <w:b w:val="0"/>
          <w:bCs w:val="0"/>
          <w:color w:val="auto"/>
          <w:sz w:val="32"/>
          <w:szCs w:val="32"/>
          <w:highlight w:val="none"/>
          <w:lang w:eastAsia="zh-CN"/>
        </w:rPr>
        <w:t>，确定专业合格名单</w:t>
      </w:r>
      <w:r>
        <w:rPr>
          <w:rFonts w:hint="eastAsia" w:ascii="仿宋_GB2312" w:hAnsi="仿宋_GB2312" w:cs="仿宋_GB2312"/>
          <w:b w:val="0"/>
          <w:bCs w:val="0"/>
          <w:color w:val="auto"/>
          <w:sz w:val="32"/>
          <w:szCs w:val="32"/>
          <w:highlight w:val="none"/>
          <w:lang w:eastAsia="zh-CN"/>
          <w:woUserID w:val="1"/>
        </w:rPr>
        <w:t>（</w:t>
      </w:r>
      <w:r>
        <w:rPr>
          <w:rFonts w:hint="eastAsia" w:ascii="仿宋_GB2312" w:hAnsi="仿宋_GB2312" w:cs="仿宋_GB2312"/>
          <w:b w:val="0"/>
          <w:bCs w:val="0"/>
          <w:color w:val="auto"/>
          <w:sz w:val="32"/>
          <w:szCs w:val="32"/>
          <w:highlight w:val="none"/>
          <w:lang w:val="en-US" w:eastAsia="zh-CN"/>
          <w:woUserID w:val="1"/>
        </w:rPr>
        <w:t>小数部分向上取整）</w:t>
      </w:r>
      <w:r>
        <w:rPr>
          <w:rFonts w:hint="eastAsia" w:ascii="仿宋_GB2312" w:hAnsi="仿宋_GB2312" w:eastAsia="仿宋_GB2312" w:cs="仿宋_GB2312"/>
          <w:b w:val="0"/>
          <w:bCs w:val="0"/>
          <w:color w:val="auto"/>
          <w:sz w:val="32"/>
          <w:szCs w:val="32"/>
          <w:highlight w:val="none"/>
          <w:lang w:eastAsia="zh-CN"/>
        </w:rPr>
        <w:t>。</w:t>
      </w:r>
      <w:r>
        <w:rPr>
          <w:rFonts w:hint="eastAsia" w:cs="仿宋_GB2312"/>
          <w:color w:val="000000"/>
          <w:highlight w:val="none"/>
          <w:lang w:val="en-US" w:eastAsia="zh-CN"/>
        </w:rPr>
        <w:t>专业合格考生默认取得我校专业合格证书。专业考试合格线上考生数量达不到规定比例的，按比例相应缩减专业上线人数。</w:t>
      </w:r>
    </w:p>
    <w:p w14:paraId="376AE878">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40" w:firstLineChars="200"/>
        <w:jc w:val="left"/>
        <w:textAlignment w:val="auto"/>
        <w:rPr>
          <w:rFonts w:hint="default" w:cs="仿宋_GB2312"/>
          <w:color w:val="000000"/>
          <w:highlight w:val="none"/>
          <w:lang w:val="en-US" w:eastAsia="zh-CN"/>
        </w:rPr>
      </w:pPr>
      <w:r>
        <w:rPr>
          <w:rFonts w:hint="eastAsia" w:cs="仿宋_GB2312"/>
          <w:color w:val="000000"/>
          <w:highlight w:val="none"/>
          <w:lang w:val="en-US" w:eastAsia="zh-CN"/>
        </w:rPr>
        <w:t>2.校考专业（综合艺术）。</w:t>
      </w:r>
    </w:p>
    <w:p w14:paraId="0FD04857">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40" w:firstLineChars="200"/>
        <w:jc w:val="left"/>
        <w:textAlignment w:val="auto"/>
        <w:rPr>
          <w:rFonts w:hint="default" w:ascii="宋体" w:hAnsi="宋体" w:eastAsia="仿宋_GB2312" w:cs="仿宋_GB2312"/>
          <w:color w:val="000000"/>
          <w:highlight w:val="none"/>
          <w:lang w:val="en-US" w:eastAsia="zh-CN"/>
        </w:rPr>
      </w:pPr>
      <w:r>
        <w:rPr>
          <w:rFonts w:hint="eastAsia" w:cs="仿宋_GB2312"/>
          <w:color w:val="000000"/>
          <w:highlight w:val="none"/>
          <w:lang w:val="en-US" w:eastAsia="zh-CN"/>
        </w:rPr>
        <w:t>综合艺术（服装表演）按我校招生计划数</w:t>
      </w:r>
      <w:r>
        <w:rPr>
          <w:rFonts w:hint="eastAsia" w:ascii="仿宋_GB2312" w:hAnsi="仿宋_GB2312" w:eastAsia="仿宋_GB2312" w:cs="仿宋_GB2312"/>
          <w:b w:val="0"/>
          <w:bCs w:val="0"/>
          <w:color w:val="auto"/>
          <w:sz w:val="32"/>
          <w:szCs w:val="32"/>
          <w:highlight w:val="none"/>
        </w:rPr>
        <w:t>1∶1.5</w:t>
      </w:r>
      <w:r>
        <w:rPr>
          <w:rFonts w:hint="eastAsia" w:cs="仿宋_GB2312"/>
          <w:color w:val="000000"/>
          <w:highlight w:val="none"/>
          <w:lang w:val="en-US" w:eastAsia="zh-CN"/>
        </w:rPr>
        <w:t>的比例划定专业考试合格线，确定专业合格名单</w:t>
      </w:r>
      <w:r>
        <w:rPr>
          <w:rFonts w:hint="eastAsia" w:ascii="仿宋_GB2312" w:hAnsi="仿宋_GB2312" w:cs="仿宋_GB2312"/>
          <w:b w:val="0"/>
          <w:bCs w:val="0"/>
          <w:color w:val="auto"/>
          <w:sz w:val="32"/>
          <w:szCs w:val="32"/>
          <w:highlight w:val="none"/>
          <w:lang w:eastAsia="zh-CN"/>
          <w:woUserID w:val="1"/>
        </w:rPr>
        <w:t>（</w:t>
      </w:r>
      <w:r>
        <w:rPr>
          <w:rFonts w:hint="eastAsia" w:ascii="仿宋_GB2312" w:hAnsi="仿宋_GB2312" w:cs="仿宋_GB2312"/>
          <w:b w:val="0"/>
          <w:bCs w:val="0"/>
          <w:color w:val="auto"/>
          <w:sz w:val="32"/>
          <w:szCs w:val="32"/>
          <w:highlight w:val="none"/>
          <w:lang w:val="en-US" w:eastAsia="zh-CN"/>
          <w:woUserID w:val="1"/>
        </w:rPr>
        <w:t>小数部分向上取整）</w:t>
      </w:r>
      <w:r>
        <w:rPr>
          <w:rFonts w:hint="eastAsia" w:cs="仿宋_GB2312"/>
          <w:color w:val="000000"/>
          <w:highlight w:val="none"/>
          <w:lang w:val="en-US" w:eastAsia="zh-CN"/>
        </w:rPr>
        <w:t xml:space="preserve">。专业考试合格线上考生数量达不到规定比例的，按比例相应缩减专业上线人数。   </w:t>
      </w:r>
    </w:p>
    <w:p w14:paraId="327B717A">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宋体" w:hAnsi="宋体" w:eastAsia="仿宋_GB2312" w:cs="仿宋_GB2312"/>
          <w:color w:val="000000"/>
          <w:highlight w:val="none"/>
          <w:lang w:val="en-US" w:eastAsia="zh-CN"/>
        </w:rPr>
      </w:pPr>
      <w:r>
        <w:rPr>
          <w:rFonts w:hint="eastAsia" w:eastAsia="黑体" w:cs="仿宋"/>
          <w:bCs/>
          <w:color w:val="000000"/>
          <w:highlight w:val="none"/>
          <w:lang w:val="en-US" w:eastAsia="zh-CN"/>
        </w:rPr>
        <w:t>四</w:t>
      </w:r>
      <w:r>
        <w:rPr>
          <w:rFonts w:hint="eastAsia" w:ascii="宋体" w:hAnsi="宋体" w:eastAsia="黑体" w:cs="仿宋"/>
          <w:bCs/>
          <w:color w:val="000000"/>
          <w:highlight w:val="none"/>
        </w:rPr>
        <w:t>、</w:t>
      </w:r>
      <w:r>
        <w:rPr>
          <w:rFonts w:hint="eastAsia" w:ascii="宋体" w:hAnsi="宋体" w:eastAsia="黑体" w:cs="仿宋"/>
          <w:bCs/>
          <w:color w:val="000000"/>
          <w:highlight w:val="none"/>
          <w:lang w:eastAsia="zh-CN"/>
        </w:rPr>
        <w:t>志愿填报</w:t>
      </w:r>
    </w:p>
    <w:p w14:paraId="18C379A8">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宋体" w:hAnsi="宋体" w:eastAsia="仿宋_GB2312" w:cs="仿宋_GB2312"/>
          <w:color w:val="auto"/>
          <w:sz w:val="32"/>
          <w:szCs w:val="32"/>
          <w:highlight w:val="none"/>
          <w:lang w:val="en-US" w:eastAsia="zh-CN"/>
        </w:rPr>
      </w:pPr>
      <w:r>
        <w:rPr>
          <w:rFonts w:hint="eastAsia" w:ascii="仿宋_GB2312" w:hAnsi="仿宋_GB2312" w:eastAsia="仿宋_GB2312" w:cs="仿宋_GB2312"/>
          <w:kern w:val="0"/>
          <w:sz w:val="32"/>
          <w:szCs w:val="32"/>
          <w:highlight w:val="none"/>
        </w:rPr>
        <w:t>填报志愿时间为6月</w:t>
      </w:r>
      <w:r>
        <w:rPr>
          <w:rFonts w:hint="eastAsia" w:ascii="仿宋_GB2312" w:hAnsi="仿宋_GB2312" w:cs="仿宋_GB2312"/>
          <w:kern w:val="0"/>
          <w:sz w:val="32"/>
          <w:szCs w:val="32"/>
          <w:highlight w:val="none"/>
          <w:lang w:val="en-US" w:eastAsia="zh-CN"/>
        </w:rPr>
        <w:t>23</w:t>
      </w:r>
      <w:r>
        <w:rPr>
          <w:rFonts w:hint="eastAsia" w:ascii="仿宋_GB2312" w:hAnsi="仿宋_GB2312" w:eastAsia="仿宋_GB2312" w:cs="仿宋_GB2312"/>
          <w:kern w:val="0"/>
          <w:sz w:val="32"/>
          <w:szCs w:val="32"/>
          <w:highlight w:val="none"/>
        </w:rPr>
        <w:t>日</w:t>
      </w:r>
      <w:r>
        <w:rPr>
          <w:rFonts w:hint="eastAsia" w:ascii="仿宋_GB2312" w:hAnsi="仿宋_GB2312" w:cs="仿宋_GB2312"/>
          <w:kern w:val="0"/>
          <w:sz w:val="32"/>
          <w:szCs w:val="32"/>
          <w:highlight w:val="none"/>
          <w:lang w:val="en-US" w:eastAsia="zh-CN"/>
        </w:rPr>
        <w:t>8</w:t>
      </w:r>
      <w:r>
        <w:rPr>
          <w:rFonts w:hint="eastAsia" w:ascii="仿宋_GB2312" w:hAnsi="仿宋_GB2312" w:eastAsia="仿宋_GB2312" w:cs="仿宋_GB2312"/>
          <w:kern w:val="0"/>
          <w:sz w:val="32"/>
          <w:szCs w:val="32"/>
          <w:highlight w:val="none"/>
        </w:rPr>
        <w:t>时至</w:t>
      </w:r>
      <w:r>
        <w:rPr>
          <w:rFonts w:hint="eastAsia" w:ascii="仿宋_GB2312" w:hAnsi="仿宋_GB2312" w:cs="仿宋_GB2312"/>
          <w:kern w:val="0"/>
          <w:sz w:val="32"/>
          <w:szCs w:val="32"/>
          <w:highlight w:val="none"/>
          <w:lang w:val="en-US" w:eastAsia="zh-CN"/>
        </w:rPr>
        <w:t>24</w:t>
      </w:r>
      <w:r>
        <w:rPr>
          <w:rFonts w:hint="eastAsia" w:ascii="仿宋_GB2312" w:hAnsi="仿宋_GB2312" w:eastAsia="仿宋_GB2312" w:cs="仿宋_GB2312"/>
          <w:kern w:val="0"/>
          <w:sz w:val="32"/>
          <w:szCs w:val="32"/>
          <w:highlight w:val="none"/>
        </w:rPr>
        <w:t>日</w:t>
      </w:r>
      <w:r>
        <w:rPr>
          <w:rFonts w:hint="eastAsia" w:ascii="仿宋_GB2312" w:hAnsi="仿宋_GB2312" w:cs="仿宋_GB2312"/>
          <w:kern w:val="0"/>
          <w:sz w:val="32"/>
          <w:szCs w:val="32"/>
          <w:highlight w:val="none"/>
          <w:lang w:val="en-US" w:eastAsia="zh-CN"/>
        </w:rPr>
        <w:t>17</w:t>
      </w:r>
      <w:r>
        <w:rPr>
          <w:rFonts w:hint="eastAsia" w:ascii="仿宋_GB2312" w:hAnsi="仿宋_GB2312" w:eastAsia="仿宋_GB2312" w:cs="仿宋_GB2312"/>
          <w:kern w:val="0"/>
          <w:sz w:val="32"/>
          <w:szCs w:val="32"/>
          <w:highlight w:val="none"/>
        </w:rPr>
        <w:t>时。</w:t>
      </w:r>
      <w:r>
        <w:rPr>
          <w:rFonts w:hint="eastAsia" w:ascii="宋体" w:hAnsi="宋体" w:eastAsia="仿宋_GB2312" w:cs="仿宋_GB2312"/>
          <w:color w:val="000000"/>
          <w:highlight w:val="none"/>
          <w:lang w:val="en-US" w:eastAsia="zh-CN"/>
        </w:rPr>
        <w:t>考生通过访问威海市教育局网站、爱山东APP（威海站），点击“威海市高中统一考试招生录取管理系统（考生登陆）”链接</w:t>
      </w:r>
      <w:r>
        <w:rPr>
          <w:rFonts w:hint="default" w:ascii="宋体" w:hAnsi="宋体" w:eastAsia="仿宋_GB2312" w:cs="仿宋_GB2312"/>
          <w:color w:val="000000"/>
          <w:highlight w:val="none"/>
          <w:lang w:val="en-US" w:eastAsia="zh-CN"/>
        </w:rPr>
        <w:t>进入，按要求操作</w:t>
      </w:r>
      <w:r>
        <w:rPr>
          <w:rFonts w:hint="eastAsia" w:ascii="宋体" w:hAnsi="宋体" w:eastAsia="仿宋_GB2312" w:cs="仿宋_GB2312"/>
          <w:color w:val="000000"/>
          <w:highlight w:val="none"/>
          <w:lang w:val="en-US" w:eastAsia="zh-CN"/>
        </w:rPr>
        <w:t>。志愿填报为威海艺术学校。</w:t>
      </w:r>
    </w:p>
    <w:p w14:paraId="02A38105">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ascii="宋体" w:hAnsi="宋体" w:eastAsia="黑体" w:cs="仿宋"/>
          <w:bCs/>
          <w:color w:val="000000"/>
          <w:highlight w:val="none"/>
        </w:rPr>
      </w:pPr>
      <w:r>
        <w:rPr>
          <w:rFonts w:hint="eastAsia" w:eastAsia="黑体" w:cs="仿宋"/>
          <w:bCs/>
          <w:color w:val="000000"/>
          <w:highlight w:val="none"/>
          <w:lang w:val="en-US" w:eastAsia="zh-CN"/>
        </w:rPr>
        <w:t>五</w:t>
      </w:r>
      <w:r>
        <w:rPr>
          <w:rFonts w:hint="eastAsia" w:ascii="宋体" w:hAnsi="宋体" w:eastAsia="黑体" w:cs="仿宋"/>
          <w:bCs/>
          <w:color w:val="000000"/>
          <w:highlight w:val="none"/>
        </w:rPr>
        <w:t>、录取办法</w:t>
      </w:r>
    </w:p>
    <w:p w14:paraId="547C9888">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kern w:val="0"/>
          <w:sz w:val="32"/>
          <w:szCs w:val="32"/>
          <w:highlight w:val="none"/>
          <w:lang w:val="en-US" w:eastAsia="zh-CN"/>
        </w:rPr>
      </w:pPr>
      <w:r>
        <w:rPr>
          <w:rFonts w:hint="eastAsia" w:ascii="仿宋_GB2312" w:hAnsi="仿宋_GB2312" w:eastAsia="仿宋_GB2312" w:cs="仿宋_GB2312"/>
          <w:kern w:val="0"/>
          <w:sz w:val="32"/>
          <w:szCs w:val="32"/>
          <w:highlight w:val="none"/>
          <w:lang w:val="en-US" w:eastAsia="zh-CN"/>
        </w:rPr>
        <w:t>1.基本条件。</w:t>
      </w:r>
    </w:p>
    <w:p w14:paraId="7F312FC5">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严格执行《威海市人民政府办公室转发市教育局关于进一步推进初中学生学业考试改革的实施意见的通知》（威政办发〔2014〕4号）和《威海市教育局关于印发&lt;关于进一步推进威海市初中学生学业考试改革的实施意见&gt;的通知》（威教发〔2014〕13号）文件规定：普通高中录取的学生学业考试科目中道德与法治、地理、历史、生物学、信息</w:t>
      </w:r>
      <w:r>
        <w:rPr>
          <w:rFonts w:hint="eastAsia" w:ascii="仿宋_GB2312" w:hAnsi="仿宋_GB2312" w:eastAsia="仿宋_GB2312" w:cs="仿宋_GB2312"/>
          <w:color w:val="auto"/>
          <w:sz w:val="32"/>
          <w:szCs w:val="32"/>
          <w:highlight w:val="none"/>
          <w:lang w:eastAsia="zh-CN"/>
        </w:rPr>
        <w:t>科技</w:t>
      </w:r>
      <w:r>
        <w:rPr>
          <w:rFonts w:hint="eastAsia" w:ascii="仿宋_GB2312" w:hAnsi="仿宋_GB2312" w:eastAsia="仿宋_GB2312" w:cs="仿宋_GB2312"/>
          <w:color w:val="auto"/>
          <w:sz w:val="32"/>
          <w:szCs w:val="32"/>
          <w:highlight w:val="none"/>
        </w:rPr>
        <w:t>、理化生实验技能6个科目和学生综合素质评价中的基础性发展目标评价总等级均达到C等，且至少有3项需达到B等，达到B等的科目中至少含道德与法治、地理、历史、生物学中的一科。音乐、美术、综合实践活动、地方课程与学校课程5个考查科目成绩均达到C等。语文、数学、英语、物理、化学、体育与健康6个科目考试成绩总分作为普通高中录取的基本依据。考查科目等级、基础性发展目标评价综合总等级为D级的不能录取到普通高中。</w:t>
      </w:r>
    </w:p>
    <w:p w14:paraId="2E01EA49">
      <w:pPr>
        <w:keepNext w:val="0"/>
        <w:keepLines w:val="0"/>
        <w:pageBreakBefore w:val="0"/>
        <w:widowControl w:val="0"/>
        <w:kinsoku/>
        <w:wordWrap/>
        <w:topLinePunct w:val="0"/>
        <w:autoSpaceDE w:val="0"/>
        <w:autoSpaceDN w:val="0"/>
        <w:bidi w:val="0"/>
        <w:spacing w:line="578" w:lineRule="exact"/>
        <w:ind w:firstLine="640" w:firstLineChars="200"/>
        <w:textAlignment w:val="auto"/>
        <w:rPr>
          <w:rFonts w:hint="eastAsia" w:ascii="仿宋_GB2312" w:hAnsi="仿宋_GB2312" w:eastAsia="仿宋_GB2312" w:cs="仿宋_GB2312"/>
          <w:kern w:val="0"/>
          <w:sz w:val="32"/>
          <w:szCs w:val="32"/>
          <w:highlight w:val="none"/>
          <w:lang w:val="en-US" w:eastAsia="zh-CN"/>
        </w:rPr>
      </w:pPr>
      <w:r>
        <w:rPr>
          <w:rFonts w:hint="eastAsia" w:ascii="仿宋_GB2312" w:hAnsi="仿宋_GB2312" w:eastAsia="仿宋_GB2312" w:cs="仿宋_GB2312"/>
          <w:kern w:val="0"/>
          <w:sz w:val="32"/>
          <w:szCs w:val="32"/>
          <w:highlight w:val="none"/>
          <w:lang w:val="en-US" w:eastAsia="zh-CN"/>
        </w:rPr>
        <w:t>2.录取办法。</w:t>
      </w:r>
    </w:p>
    <w:p w14:paraId="7A3F828B">
      <w:pPr>
        <w:pStyle w:val="3"/>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仿宋_GB2312" w:hAnsi="仿宋_GB2312" w:eastAsia="仿宋_GB2312" w:cs="仿宋_GB2312"/>
          <w:color w:val="auto"/>
          <w:kern w:val="0"/>
          <w:sz w:val="32"/>
          <w:szCs w:val="32"/>
          <w:highlight w:val="none"/>
          <w:lang w:val="en-US" w:eastAsia="zh-CN"/>
        </w:rPr>
      </w:pPr>
      <w:r>
        <w:rPr>
          <w:rFonts w:hint="eastAsia" w:ascii="仿宋_GB2312" w:hAnsi="仿宋_GB2312" w:eastAsia="仿宋_GB2312" w:cs="仿宋_GB2312"/>
          <w:color w:val="auto"/>
          <w:kern w:val="2"/>
          <w:sz w:val="32"/>
          <w:szCs w:val="32"/>
          <w:highlight w:val="none"/>
          <w:lang w:val="en-US" w:eastAsia="zh-CN" w:bidi="ar-SA"/>
        </w:rPr>
        <w:t>艺术类专业各个项目合</w:t>
      </w:r>
      <w:r>
        <w:rPr>
          <w:rFonts w:hint="eastAsia" w:ascii="仿宋_GB2312" w:hAnsi="仿宋_GB2312" w:eastAsia="仿宋_GB2312" w:cs="仿宋_GB2312"/>
          <w:color w:val="auto"/>
          <w:spacing w:val="4"/>
          <w:sz w:val="32"/>
          <w:szCs w:val="32"/>
          <w:highlight w:val="none"/>
          <w:lang w:eastAsia="zh-CN"/>
        </w:rPr>
        <w:t>格考生，按照我校招生计划数，根据</w:t>
      </w:r>
      <w:r>
        <w:rPr>
          <w:rFonts w:hint="eastAsia" w:ascii="仿宋_GB2312" w:hAnsi="仿宋_GB2312" w:eastAsia="仿宋_GB2312" w:cs="仿宋_GB2312"/>
          <w:color w:val="auto"/>
          <w:highlight w:val="none"/>
          <w:lang w:eastAsia="zh-CN"/>
        </w:rPr>
        <w:t>报考</w:t>
      </w:r>
      <w:r>
        <w:rPr>
          <w:rFonts w:hint="eastAsia" w:ascii="仿宋_GB2312" w:hAnsi="仿宋_GB2312" w:eastAsia="仿宋_GB2312" w:cs="仿宋_GB2312"/>
          <w:color w:val="auto"/>
          <w:highlight w:val="none"/>
        </w:rPr>
        <w:t>志愿按综合成绩从高到低录取，</w:t>
      </w:r>
      <w:r>
        <w:rPr>
          <w:rFonts w:hint="eastAsia" w:ascii="仿宋_GB2312" w:hAnsi="仿宋_GB2312" w:eastAsia="仿宋_GB2312" w:cs="仿宋_GB2312"/>
          <w:color w:val="auto"/>
          <w:highlight w:val="none"/>
          <w:lang w:eastAsia="zh-CN"/>
        </w:rPr>
        <w:t>确定该专业录取分数线，同时要求考生文化成绩不得低于</w:t>
      </w:r>
      <w:r>
        <w:rPr>
          <w:rFonts w:hint="eastAsia" w:ascii="仿宋_GB2312" w:hAnsi="仿宋_GB2312" w:eastAsia="仿宋_GB2312" w:cs="仿宋_GB2312"/>
          <w:color w:val="auto"/>
          <w:highlight w:val="none"/>
          <w:lang w:val="en-US" w:eastAsia="zh-CN"/>
        </w:rPr>
        <w:t>300分。</w:t>
      </w:r>
    </w:p>
    <w:p w14:paraId="027FAC9B">
      <w:pPr>
        <w:pStyle w:val="8"/>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color w:val="auto"/>
          <w:highlight w:val="none"/>
        </w:rPr>
      </w:pPr>
      <w:r>
        <w:rPr>
          <w:rFonts w:hint="eastAsia" w:ascii="仿宋_GB2312" w:hAnsi="仿宋_GB2312" w:eastAsia="仿宋_GB2312" w:cs="仿宋_GB2312"/>
          <w:color w:val="auto"/>
          <w:highlight w:val="none"/>
        </w:rPr>
        <w:t>综合成绩计算办法如下：</w:t>
      </w:r>
    </w:p>
    <w:p w14:paraId="798EA9EC">
      <w:pPr>
        <w:pStyle w:val="8"/>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_GB2312" w:eastAsia="仿宋_GB2312" w:cs="仿宋_GB2312"/>
          <w:color w:val="auto"/>
          <w:highlight w:val="none"/>
        </w:rPr>
      </w:pPr>
      <w:r>
        <w:rPr>
          <w:rFonts w:hint="eastAsia" w:ascii="仿宋_GB2312" w:hAnsi="仿宋_GB2312" w:eastAsia="仿宋_GB2312" w:cs="仿宋_GB2312"/>
          <w:b w:val="0"/>
          <w:bCs w:val="0"/>
          <w:color w:val="auto"/>
          <w:highlight w:val="none"/>
        </w:rPr>
        <w:t>综合成绩=</w:t>
      </w:r>
      <w:r>
        <w:rPr>
          <w:rFonts w:hint="eastAsia" w:ascii="仿宋_GB2312" w:hAnsi="仿宋_GB2312" w:eastAsia="仿宋_GB2312" w:cs="仿宋_GB2312"/>
          <w:b w:val="0"/>
          <w:bCs w:val="0"/>
          <w:color w:val="auto"/>
          <w:position w:val="-26"/>
          <w:highlight w:val="none"/>
        </w:rPr>
        <w:object>
          <v:shape id="_x0000_i1025" o:spt="75" type="#_x0000_t75" style="height:41.25pt;width:135pt;" o:ole="t" filled="f" o:preferrelative="t" stroked="f" coordsize="21600,21600">
            <v:path/>
            <v:fill on="f" focussize="0,0"/>
            <v:stroke on="f"/>
            <v:imagedata r:id="rId5" o:title=""/>
            <o:lock v:ext="edit" aspectratio="t"/>
            <w10:wrap type="none"/>
            <w10:anchorlock/>
          </v:shape>
          <o:OLEObject Type="Embed" ProgID="Equation.KSEE3" ShapeID="_x0000_i1025" DrawAspect="Content" ObjectID="_1468075725" r:id="rId4">
            <o:LockedField>false</o:LockedField>
          </o:OLEObject>
        </w:object>
      </w:r>
      <w:r>
        <w:rPr>
          <w:rFonts w:hint="eastAsia" w:ascii="仿宋_GB2312" w:hAnsi="仿宋_GB2312" w:eastAsia="仿宋_GB2312" w:cs="仿宋_GB2312"/>
          <w:b w:val="0"/>
          <w:bCs w:val="0"/>
          <w:color w:val="auto"/>
          <w:highlight w:val="none"/>
        </w:rPr>
        <w:t>+文化成绩×50%</w:t>
      </w:r>
    </w:p>
    <w:p w14:paraId="5FB369F9">
      <w:pPr>
        <w:pStyle w:val="3"/>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color w:val="auto"/>
          <w:kern w:val="2"/>
          <w:sz w:val="32"/>
          <w:szCs w:val="32"/>
          <w:highlight w:val="none"/>
          <w:lang w:val="en-US" w:eastAsia="zh-CN"/>
        </w:rPr>
      </w:pPr>
      <w:r>
        <w:rPr>
          <w:rFonts w:hint="eastAsia" w:ascii="仿宋_GB2312" w:hAnsi="仿宋_GB2312" w:eastAsia="仿宋_GB2312" w:cs="仿宋_GB2312"/>
          <w:color w:val="auto"/>
          <w:kern w:val="0"/>
          <w:sz w:val="32"/>
          <w:szCs w:val="32"/>
          <w:highlight w:val="none"/>
          <w:lang w:eastAsia="zh-CN"/>
        </w:rPr>
        <w:t>各专业</w:t>
      </w:r>
      <w:r>
        <w:rPr>
          <w:rFonts w:hint="eastAsia" w:ascii="仿宋_GB2312" w:hAnsi="仿宋_GB2312" w:eastAsia="仿宋_GB2312" w:cs="仿宋_GB2312"/>
          <w:color w:val="auto"/>
          <w:spacing w:val="4"/>
          <w:sz w:val="32"/>
          <w:szCs w:val="32"/>
          <w:highlight w:val="none"/>
          <w:lang w:eastAsia="zh-CN"/>
        </w:rPr>
        <w:t>完不成招生计划的，不做计划调整。</w:t>
      </w:r>
    </w:p>
    <w:p w14:paraId="78165EEF">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宋体" w:hAnsi="宋体" w:eastAsia="黑体" w:cs="仿宋"/>
          <w:bCs/>
          <w:color w:val="000000"/>
          <w:highlight w:val="none"/>
          <w:lang w:val="en-US" w:eastAsia="zh-CN"/>
        </w:rPr>
      </w:pPr>
      <w:r>
        <w:rPr>
          <w:rFonts w:hint="eastAsia" w:eastAsia="黑体" w:cs="仿宋"/>
          <w:bCs/>
          <w:color w:val="000000"/>
          <w:highlight w:val="none"/>
          <w:lang w:val="en-US" w:eastAsia="zh-CN"/>
        </w:rPr>
        <w:t>六</w:t>
      </w:r>
      <w:r>
        <w:rPr>
          <w:rFonts w:hint="eastAsia" w:ascii="宋体" w:hAnsi="宋体" w:eastAsia="黑体" w:cs="仿宋"/>
          <w:bCs/>
          <w:color w:val="000000"/>
          <w:highlight w:val="none"/>
          <w:lang w:val="en-US" w:eastAsia="zh-CN"/>
        </w:rPr>
        <w:t>、收费标准</w:t>
      </w:r>
    </w:p>
    <w:p w14:paraId="6F35CB13">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bCs/>
          <w:color w:val="000000"/>
          <w:highlight w:val="none"/>
          <w:lang w:val="en-US" w:eastAsia="zh-CN"/>
        </w:rPr>
      </w:pPr>
      <w:r>
        <w:rPr>
          <w:rFonts w:hint="eastAsia" w:ascii="仿宋_GB2312" w:hAnsi="仿宋_GB2312" w:cs="仿宋_GB2312"/>
          <w:bCs/>
          <w:color w:val="000000"/>
          <w:highlight w:val="none"/>
          <w:lang w:val="en-US" w:eastAsia="zh-CN"/>
        </w:rPr>
        <w:t>学费：</w:t>
      </w:r>
      <w:r>
        <w:rPr>
          <w:rFonts w:hint="eastAsia" w:ascii="仿宋_GB2312" w:hAnsi="仿宋_GB2312" w:eastAsia="仿宋_GB2312" w:cs="仿宋_GB2312"/>
          <w:bCs/>
          <w:color w:val="000000"/>
          <w:highlight w:val="none"/>
          <w:lang w:val="en-US" w:eastAsia="zh-CN"/>
        </w:rPr>
        <w:t>普通高中生</w:t>
      </w:r>
      <w:r>
        <w:rPr>
          <w:rFonts w:hint="eastAsia" w:ascii="仿宋_GB2312" w:hAnsi="仿宋_GB2312" w:cs="仿宋_GB2312"/>
          <w:bCs/>
          <w:color w:val="000000"/>
          <w:highlight w:val="none"/>
          <w:lang w:val="en-US" w:eastAsia="zh-CN"/>
        </w:rPr>
        <w:t>80</w:t>
      </w:r>
      <w:r>
        <w:rPr>
          <w:rFonts w:hint="eastAsia" w:ascii="仿宋_GB2312" w:hAnsi="仿宋_GB2312" w:eastAsia="仿宋_GB2312" w:cs="仿宋_GB2312"/>
          <w:bCs/>
          <w:color w:val="000000"/>
          <w:highlight w:val="none"/>
          <w:lang w:val="en-US" w:eastAsia="zh-CN"/>
        </w:rPr>
        <w:t>0元/学期</w:t>
      </w:r>
      <w:r>
        <w:rPr>
          <w:rFonts w:hint="eastAsia" w:ascii="仿宋_GB2312" w:hAnsi="仿宋_GB2312" w:cs="仿宋_GB2312"/>
          <w:bCs/>
          <w:color w:val="000000"/>
          <w:highlight w:val="none"/>
          <w:lang w:val="en-US" w:eastAsia="zh-CN"/>
        </w:rPr>
        <w:t>，</w:t>
      </w:r>
      <w:r>
        <w:rPr>
          <w:rFonts w:hint="eastAsia" w:ascii="仿宋_GB2312" w:hAnsi="仿宋_GB2312" w:eastAsia="仿宋_GB2312" w:cs="仿宋_GB2312"/>
          <w:bCs/>
          <w:color w:val="000000"/>
          <w:highlight w:val="none"/>
          <w:lang w:val="en-US" w:eastAsia="zh-CN"/>
        </w:rPr>
        <w:t>艺术高中生1300元/学期。</w:t>
      </w:r>
    </w:p>
    <w:p w14:paraId="5AD0B884">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bCs/>
          <w:color w:val="000000"/>
          <w:highlight w:val="none"/>
          <w:lang w:val="en-US" w:eastAsia="zh-CN"/>
        </w:rPr>
      </w:pPr>
      <w:r>
        <w:rPr>
          <w:rFonts w:hint="eastAsia" w:ascii="仿宋_GB2312" w:hAnsi="仿宋_GB2312" w:eastAsia="仿宋_GB2312" w:cs="仿宋_GB2312"/>
          <w:bCs/>
          <w:color w:val="000000"/>
          <w:highlight w:val="none"/>
          <w:lang w:val="en-US" w:eastAsia="zh-CN"/>
        </w:rPr>
        <w:t>住宿费</w:t>
      </w:r>
      <w:r>
        <w:rPr>
          <w:rFonts w:hint="eastAsia" w:ascii="仿宋_GB2312" w:hAnsi="仿宋_GB2312" w:cs="仿宋_GB2312"/>
          <w:bCs/>
          <w:color w:val="000000"/>
          <w:highlight w:val="none"/>
          <w:lang w:val="en-US" w:eastAsia="zh-CN"/>
        </w:rPr>
        <w:t>：</w:t>
      </w:r>
      <w:r>
        <w:rPr>
          <w:rFonts w:hint="eastAsia" w:ascii="仿宋_GB2312" w:hAnsi="仿宋_GB2312" w:eastAsia="仿宋_GB2312" w:cs="仿宋_GB2312"/>
          <w:bCs/>
          <w:color w:val="000000"/>
          <w:highlight w:val="none"/>
          <w:lang w:val="en-US" w:eastAsia="zh-CN"/>
        </w:rPr>
        <w:t>男生四人间450元/学期、六人间450元/学期，女生300元/学期。</w:t>
      </w:r>
    </w:p>
    <w:p w14:paraId="49605A33">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仿宋_GB2312" w:hAnsi="仿宋_GB2312" w:eastAsia="仿宋_GB2312" w:cs="仿宋_GB2312"/>
          <w:bCs/>
          <w:color w:val="000000"/>
          <w:highlight w:val="none"/>
          <w:lang w:val="en-US" w:eastAsia="zh-CN"/>
        </w:rPr>
      </w:pPr>
      <w:r>
        <w:rPr>
          <w:rFonts w:hint="eastAsia" w:ascii="仿宋_GB2312" w:hAnsi="仿宋_GB2312" w:cs="仿宋_GB2312"/>
          <w:bCs/>
          <w:color w:val="000000"/>
          <w:highlight w:val="none"/>
          <w:lang w:val="en-US" w:eastAsia="zh-CN"/>
        </w:rPr>
        <w:t>家庭经济困难学生可申请国家助学金，在校综合表现优秀者可获得学校奖学金。</w:t>
      </w:r>
    </w:p>
    <w:p w14:paraId="218CFD6B">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宋体" w:hAnsi="宋体" w:eastAsia="黑体" w:cs="仿宋"/>
          <w:bCs/>
          <w:color w:val="000000"/>
          <w:highlight w:val="none"/>
          <w:lang w:val="en-US" w:eastAsia="zh-CN"/>
        </w:rPr>
      </w:pPr>
      <w:r>
        <w:rPr>
          <w:rFonts w:hint="eastAsia" w:eastAsia="黑体" w:cs="仿宋"/>
          <w:bCs/>
          <w:color w:val="000000"/>
          <w:highlight w:val="none"/>
          <w:lang w:val="en-US" w:eastAsia="zh-CN"/>
        </w:rPr>
        <w:t>七、课程设置</w:t>
      </w:r>
    </w:p>
    <w:p w14:paraId="459FA0F3">
      <w:pPr>
        <w:keepNext w:val="0"/>
        <w:keepLines w:val="0"/>
        <w:pageBreakBefore w:val="0"/>
        <w:widowControl w:val="0"/>
        <w:kinsoku/>
        <w:wordWrap/>
        <w:overflowPunct/>
        <w:topLinePunct w:val="0"/>
        <w:autoSpaceDE/>
        <w:autoSpaceDN/>
        <w:bidi w:val="0"/>
        <w:adjustRightInd/>
        <w:snapToGrid/>
        <w:spacing w:line="578" w:lineRule="exact"/>
        <w:ind w:firstLine="627" w:firstLineChars="196"/>
        <w:textAlignment w:val="auto"/>
        <w:rPr>
          <w:rFonts w:hint="eastAsia" w:ascii="仿宋_GB2312" w:hAnsi="仿宋_GB2312" w:eastAsia="仿宋_GB2312" w:cs="仿宋_GB2312"/>
          <w:b w:val="0"/>
          <w:bCs/>
          <w:highlight w:val="none"/>
          <w:lang w:val="en-US" w:eastAsia="zh-CN"/>
        </w:rPr>
      </w:pPr>
      <w:r>
        <w:rPr>
          <w:rFonts w:hint="eastAsia" w:ascii="仿宋_GB2312" w:hAnsi="仿宋_GB2312" w:eastAsia="仿宋_GB2312" w:cs="仿宋_GB2312"/>
          <w:b w:val="0"/>
          <w:bCs/>
          <w:highlight w:val="none"/>
          <w:lang w:val="en-US" w:eastAsia="zh-CN"/>
        </w:rPr>
        <w:t>严格依照教育部《普通高中课程方案（2017年版2020年修订）》开齐开足开好高中课程，包括语文、数学、外语、思想政治、历史、地理、物理、化学、生物学、技术（含信息技术和通用技术）、艺术（</w:t>
      </w:r>
      <w:r>
        <w:rPr>
          <w:rFonts w:hint="eastAsia" w:ascii="仿宋_GB2312" w:hAnsi="仿宋_GB2312" w:cs="仿宋_GB2312"/>
          <w:b w:val="0"/>
          <w:bCs/>
          <w:highlight w:val="none"/>
          <w:lang w:val="en-US" w:eastAsia="zh-CN"/>
        </w:rPr>
        <w:t>含</w:t>
      </w:r>
      <w:r>
        <w:rPr>
          <w:rFonts w:hint="eastAsia" w:ascii="仿宋_GB2312" w:hAnsi="仿宋_GB2312" w:eastAsia="仿宋_GB2312" w:cs="仿宋_GB2312"/>
          <w:b w:val="0"/>
          <w:bCs/>
          <w:highlight w:val="none"/>
          <w:lang w:val="en-US" w:eastAsia="zh-CN"/>
        </w:rPr>
        <w:t>音乐</w:t>
      </w:r>
      <w:r>
        <w:rPr>
          <w:rFonts w:hint="eastAsia" w:ascii="仿宋_GB2312" w:hAnsi="仿宋_GB2312" w:cs="仿宋_GB2312"/>
          <w:b w:val="0"/>
          <w:bCs/>
          <w:highlight w:val="none"/>
          <w:lang w:val="en-US" w:eastAsia="zh-CN"/>
        </w:rPr>
        <w:t>和</w:t>
      </w:r>
      <w:r>
        <w:rPr>
          <w:rFonts w:hint="eastAsia" w:ascii="仿宋_GB2312" w:hAnsi="仿宋_GB2312" w:eastAsia="仿宋_GB2312" w:cs="仿宋_GB2312"/>
          <w:b w:val="0"/>
          <w:bCs/>
          <w:highlight w:val="none"/>
          <w:lang w:val="en-US" w:eastAsia="zh-CN"/>
        </w:rPr>
        <w:t>美术）、体育与健康、综合实践活动、劳动等。</w:t>
      </w:r>
    </w:p>
    <w:p w14:paraId="3DA96DD0">
      <w:pPr>
        <w:keepNext w:val="0"/>
        <w:keepLines w:val="0"/>
        <w:pageBreakBefore w:val="0"/>
        <w:widowControl w:val="0"/>
        <w:kinsoku/>
        <w:wordWrap/>
        <w:overflowPunct/>
        <w:topLinePunct w:val="0"/>
        <w:autoSpaceDE/>
        <w:autoSpaceDN/>
        <w:bidi w:val="0"/>
        <w:adjustRightInd/>
        <w:snapToGrid/>
        <w:spacing w:line="578" w:lineRule="exact"/>
        <w:ind w:firstLine="627" w:firstLineChars="196"/>
        <w:textAlignment w:val="auto"/>
        <w:rPr>
          <w:rFonts w:hint="eastAsia" w:ascii="仿宋_GB2312" w:hAnsi="仿宋_GB2312" w:cs="仿宋_GB2312"/>
          <w:b w:val="0"/>
          <w:bCs/>
          <w:highlight w:val="none"/>
          <w:lang w:val="en-US" w:eastAsia="zh-CN"/>
        </w:rPr>
      </w:pPr>
      <w:r>
        <w:rPr>
          <w:rFonts w:hint="eastAsia" w:ascii="仿宋_GB2312" w:hAnsi="仿宋_GB2312" w:cs="仿宋_GB2312"/>
          <w:b w:val="0"/>
          <w:bCs/>
          <w:highlight w:val="none"/>
          <w:lang w:val="en-US" w:eastAsia="zh-CN"/>
        </w:rPr>
        <w:t>艺术类除文化课外，每周加设</w:t>
      </w:r>
      <w:r>
        <w:rPr>
          <w:rFonts w:hint="eastAsia" w:ascii="仿宋_GB2312" w:hAnsi="仿宋_GB2312" w:eastAsia="仿宋_GB2312" w:cs="仿宋_GB2312"/>
          <w:b w:val="0"/>
          <w:bCs/>
          <w:highlight w:val="none"/>
          <w:lang w:val="en-US" w:eastAsia="zh-CN"/>
        </w:rPr>
        <w:t>8节专</w:t>
      </w:r>
      <w:r>
        <w:rPr>
          <w:rFonts w:hint="eastAsia" w:ascii="仿宋_GB2312" w:hAnsi="仿宋_GB2312" w:cs="仿宋_GB2312"/>
          <w:b w:val="0"/>
          <w:bCs/>
          <w:highlight w:val="none"/>
          <w:lang w:val="en-US" w:eastAsia="zh-CN"/>
        </w:rPr>
        <w:t>业课：</w:t>
      </w:r>
    </w:p>
    <w:tbl>
      <w:tblPr>
        <w:tblStyle w:val="1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973"/>
        <w:gridCol w:w="6762"/>
      </w:tblGrid>
      <w:tr w14:paraId="2AC6DD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73" w:type="dxa"/>
            <w:tcBorders>
              <w:top w:val="single" w:color="FFFFFF" w:sz="8" w:space="0"/>
              <w:left w:val="single" w:color="FFFFFF" w:sz="8" w:space="0"/>
              <w:bottom w:val="single" w:color="FFFFFF" w:sz="8" w:space="0"/>
              <w:right w:val="single" w:color="FFFFFF" w:sz="8" w:space="0"/>
            </w:tcBorders>
            <w:shd w:val="clear" w:color="auto" w:fill="4F81BD" w:themeFill="accent1"/>
            <w:vAlign w:val="center"/>
          </w:tcPr>
          <w:p w14:paraId="2A5B41C0">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微软雅黑" w:hAnsi="微软雅黑" w:eastAsia="微软雅黑" w:cs="微软雅黑"/>
                <w:b/>
                <w:bCs/>
                <w:i w:val="0"/>
                <w:color w:val="FFFFFF"/>
                <w:sz w:val="28"/>
                <w:szCs w:val="28"/>
                <w:highlight w:val="none"/>
                <w:vertAlign w:val="baseline"/>
                <w:lang w:val="en-US" w:eastAsia="zh-CN"/>
              </w:rPr>
            </w:pPr>
            <w:r>
              <w:rPr>
                <w:rFonts w:hint="eastAsia" w:ascii="微软雅黑" w:hAnsi="微软雅黑" w:eastAsia="微软雅黑" w:cs="微软雅黑"/>
                <w:b/>
                <w:bCs/>
                <w:i w:val="0"/>
                <w:color w:val="FFFFFF"/>
                <w:sz w:val="28"/>
                <w:szCs w:val="28"/>
                <w:highlight w:val="none"/>
                <w:vertAlign w:val="baseline"/>
                <w:lang w:val="en-US" w:eastAsia="zh-CN"/>
              </w:rPr>
              <w:t>专业</w:t>
            </w:r>
          </w:p>
        </w:tc>
        <w:tc>
          <w:tcPr>
            <w:tcW w:w="6762" w:type="dxa"/>
            <w:tcBorders>
              <w:top w:val="single" w:color="FFFFFF" w:sz="8" w:space="0"/>
              <w:left w:val="single" w:color="FFFFFF" w:sz="8" w:space="0"/>
              <w:bottom w:val="single" w:color="FFFFFF" w:sz="8" w:space="0"/>
              <w:right w:val="single" w:color="FFFFFF" w:sz="8" w:space="0"/>
            </w:tcBorders>
            <w:shd w:val="clear" w:color="auto" w:fill="4F81BD" w:themeFill="accent1"/>
          </w:tcPr>
          <w:p w14:paraId="23F551A0">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微软雅黑" w:hAnsi="微软雅黑" w:eastAsia="微软雅黑" w:cs="微软雅黑"/>
                <w:b/>
                <w:bCs/>
                <w:i w:val="0"/>
                <w:color w:val="FFFFFF"/>
                <w:sz w:val="28"/>
                <w:szCs w:val="28"/>
                <w:highlight w:val="none"/>
                <w:vertAlign w:val="baseline"/>
                <w:lang w:val="en-US" w:eastAsia="zh-CN"/>
              </w:rPr>
            </w:pPr>
            <w:r>
              <w:rPr>
                <w:rFonts w:hint="eastAsia" w:ascii="微软雅黑" w:hAnsi="微软雅黑" w:eastAsia="微软雅黑" w:cs="微软雅黑"/>
                <w:b/>
                <w:bCs/>
                <w:i w:val="0"/>
                <w:color w:val="FFFFFF"/>
                <w:sz w:val="28"/>
                <w:szCs w:val="28"/>
                <w:highlight w:val="none"/>
                <w:vertAlign w:val="baseline"/>
                <w:lang w:val="en-US" w:eastAsia="zh-CN"/>
              </w:rPr>
              <w:t>专业课程</w:t>
            </w:r>
          </w:p>
        </w:tc>
      </w:tr>
      <w:tr w14:paraId="520D6A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0" w:hRule="atLeast"/>
          <w:jc w:val="center"/>
        </w:trPr>
        <w:tc>
          <w:tcPr>
            <w:tcW w:w="1973" w:type="dxa"/>
            <w:tcBorders>
              <w:top w:val="single" w:color="FFFFFF" w:sz="8" w:space="0"/>
              <w:left w:val="single" w:color="FFFFFF" w:sz="8" w:space="0"/>
              <w:bottom w:val="single" w:color="FFFFFF" w:sz="8" w:space="0"/>
              <w:right w:val="single" w:color="FFFFFF" w:sz="8" w:space="0"/>
            </w:tcBorders>
            <w:shd w:val="clear" w:color="auto" w:fill="EDF2F8" w:themeFill="accent1" w:themeFillTint="19"/>
            <w:vAlign w:val="center"/>
          </w:tcPr>
          <w:p w14:paraId="35639D88">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微软雅黑" w:hAnsi="微软雅黑" w:eastAsia="微软雅黑" w:cs="微软雅黑"/>
                <w:b w:val="0"/>
                <w:bCs/>
                <w:i w:val="0"/>
                <w:color w:val="000000"/>
                <w:sz w:val="28"/>
                <w:szCs w:val="28"/>
                <w:highlight w:val="none"/>
                <w:vertAlign w:val="baseline"/>
                <w:lang w:val="en-US" w:eastAsia="zh-CN"/>
              </w:rPr>
            </w:pPr>
            <w:r>
              <w:rPr>
                <w:rFonts w:hint="eastAsia" w:ascii="微软雅黑" w:hAnsi="微软雅黑" w:eastAsia="微软雅黑" w:cs="微软雅黑"/>
                <w:b w:val="0"/>
                <w:bCs/>
                <w:i w:val="0"/>
                <w:color w:val="000000"/>
                <w:sz w:val="28"/>
                <w:szCs w:val="28"/>
                <w:highlight w:val="none"/>
                <w:vertAlign w:val="baseline"/>
                <w:lang w:val="en-US" w:eastAsia="zh-CN"/>
              </w:rPr>
              <w:t>美术</w:t>
            </w:r>
          </w:p>
        </w:tc>
        <w:tc>
          <w:tcPr>
            <w:tcW w:w="6762" w:type="dxa"/>
            <w:tcBorders>
              <w:top w:val="single" w:color="FFFFFF" w:sz="8" w:space="0"/>
              <w:left w:val="single" w:color="FFFFFF" w:sz="8" w:space="0"/>
              <w:bottom w:val="single" w:color="FFFFFF" w:sz="8" w:space="0"/>
              <w:right w:val="single" w:color="FFFFFF" w:sz="8" w:space="0"/>
            </w:tcBorders>
            <w:shd w:val="clear" w:color="auto" w:fill="EDF2F8" w:themeFill="accent1" w:themeFillTint="19"/>
            <w:vAlign w:val="center"/>
          </w:tcPr>
          <w:p w14:paraId="64DD6B89">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仿宋_GB2312" w:hAnsi="仿宋_GB2312" w:cs="仿宋_GB2312"/>
                <w:b w:val="0"/>
                <w:bCs/>
                <w:i w:val="0"/>
                <w:sz w:val="28"/>
                <w:szCs w:val="28"/>
                <w:highlight w:val="none"/>
                <w:vertAlign w:val="baseline"/>
                <w:lang w:val="en-US" w:eastAsia="zh-CN"/>
              </w:rPr>
            </w:pPr>
            <w:r>
              <w:rPr>
                <w:rFonts w:hint="eastAsia" w:ascii="宋体" w:hAnsi="宋体" w:eastAsia="仿宋_GB2312" w:cs="仿宋_GB2312"/>
                <w:b w:val="0"/>
                <w:i w:val="0"/>
                <w:color w:val="000000"/>
                <w:sz w:val="28"/>
                <w:szCs w:val="28"/>
                <w:highlight w:val="none"/>
                <w:lang w:val="en-US" w:eastAsia="zh-CN"/>
              </w:rPr>
              <w:t>素描、色彩、速写、风景写生等</w:t>
            </w:r>
          </w:p>
        </w:tc>
      </w:tr>
      <w:tr w14:paraId="656821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0" w:hRule="atLeast"/>
          <w:jc w:val="center"/>
        </w:trPr>
        <w:tc>
          <w:tcPr>
            <w:tcW w:w="1973" w:type="dxa"/>
            <w:tcBorders>
              <w:top w:val="single" w:color="FFFFFF" w:sz="8" w:space="0"/>
              <w:left w:val="single" w:color="FFFFFF" w:sz="8" w:space="0"/>
              <w:bottom w:val="single" w:color="FFFFFF" w:sz="8" w:space="0"/>
              <w:right w:val="single" w:color="FFFFFF" w:sz="8" w:space="0"/>
            </w:tcBorders>
            <w:shd w:val="clear" w:color="auto" w:fill="B8CCE4" w:themeFill="accent1" w:themeFillTint="66"/>
            <w:vAlign w:val="center"/>
          </w:tcPr>
          <w:p w14:paraId="0F9AB52C">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微软雅黑" w:hAnsi="微软雅黑" w:eastAsia="微软雅黑" w:cs="微软雅黑"/>
                <w:b w:val="0"/>
                <w:bCs/>
                <w:i w:val="0"/>
                <w:color w:val="000000"/>
                <w:sz w:val="28"/>
                <w:szCs w:val="28"/>
                <w:highlight w:val="none"/>
                <w:vertAlign w:val="baseline"/>
                <w:lang w:val="en-US" w:eastAsia="zh-CN"/>
              </w:rPr>
            </w:pPr>
            <w:r>
              <w:rPr>
                <w:rFonts w:hint="eastAsia" w:ascii="微软雅黑" w:hAnsi="微软雅黑" w:eastAsia="微软雅黑" w:cs="微软雅黑"/>
                <w:b w:val="0"/>
                <w:bCs/>
                <w:i w:val="0"/>
                <w:color w:val="000000"/>
                <w:sz w:val="28"/>
                <w:szCs w:val="28"/>
                <w:highlight w:val="none"/>
                <w:vertAlign w:val="baseline"/>
                <w:lang w:val="en-US" w:eastAsia="zh-CN"/>
              </w:rPr>
              <w:t>音乐</w:t>
            </w:r>
          </w:p>
          <w:p w14:paraId="634429A7">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微软雅黑" w:hAnsi="微软雅黑" w:eastAsia="微软雅黑" w:cs="微软雅黑"/>
                <w:b w:val="0"/>
                <w:bCs/>
                <w:i w:val="0"/>
                <w:color w:val="000000"/>
                <w:sz w:val="28"/>
                <w:szCs w:val="28"/>
                <w:highlight w:val="none"/>
                <w:vertAlign w:val="baseline"/>
                <w:lang w:val="en-US" w:eastAsia="zh-CN"/>
              </w:rPr>
            </w:pPr>
            <w:r>
              <w:rPr>
                <w:rFonts w:hint="eastAsia" w:ascii="微软雅黑" w:hAnsi="微软雅黑" w:eastAsia="微软雅黑" w:cs="微软雅黑"/>
                <w:b w:val="0"/>
                <w:bCs/>
                <w:i w:val="0"/>
                <w:color w:val="000000"/>
                <w:sz w:val="28"/>
                <w:szCs w:val="28"/>
                <w:highlight w:val="none"/>
                <w:vertAlign w:val="baseline"/>
                <w:lang w:val="en-US" w:eastAsia="zh-CN"/>
              </w:rPr>
              <w:t>（声乐、器乐）</w:t>
            </w:r>
          </w:p>
        </w:tc>
        <w:tc>
          <w:tcPr>
            <w:tcW w:w="6762" w:type="dxa"/>
            <w:tcBorders>
              <w:top w:val="single" w:color="FFFFFF" w:sz="8" w:space="0"/>
              <w:left w:val="single" w:color="FFFFFF" w:sz="8" w:space="0"/>
              <w:bottom w:val="single" w:color="FFFFFF" w:sz="8" w:space="0"/>
              <w:right w:val="single" w:color="FFFFFF" w:sz="8" w:space="0"/>
            </w:tcBorders>
            <w:shd w:val="clear" w:color="auto" w:fill="B8CCE4" w:themeFill="accent1" w:themeFillTint="66"/>
            <w:vAlign w:val="center"/>
          </w:tcPr>
          <w:p w14:paraId="0BFF53E4">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仿宋_GB2312" w:hAnsi="仿宋_GB2312" w:cs="仿宋_GB2312"/>
                <w:b w:val="0"/>
                <w:bCs/>
                <w:i w:val="0"/>
                <w:sz w:val="28"/>
                <w:szCs w:val="28"/>
                <w:highlight w:val="none"/>
                <w:vertAlign w:val="baseline"/>
                <w:lang w:val="en-US" w:eastAsia="zh-CN"/>
              </w:rPr>
            </w:pPr>
            <w:r>
              <w:rPr>
                <w:rFonts w:hint="eastAsia" w:ascii="宋体" w:hAnsi="宋体" w:eastAsia="仿宋_GB2312" w:cs="仿宋_GB2312"/>
                <w:b w:val="0"/>
                <w:i w:val="0"/>
                <w:color w:val="000000"/>
                <w:sz w:val="28"/>
                <w:szCs w:val="28"/>
                <w:highlight w:val="none"/>
                <w:lang w:val="en-US" w:eastAsia="zh-CN"/>
              </w:rPr>
              <w:t>声乐、器乐、乐理、视唱练耳、钢琴等</w:t>
            </w:r>
          </w:p>
        </w:tc>
      </w:tr>
      <w:tr w14:paraId="6129F0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0" w:hRule="atLeast"/>
          <w:jc w:val="center"/>
        </w:trPr>
        <w:tc>
          <w:tcPr>
            <w:tcW w:w="1973" w:type="dxa"/>
            <w:tcBorders>
              <w:top w:val="single" w:color="FFFFFF" w:sz="8" w:space="0"/>
              <w:left w:val="single" w:color="FFFFFF" w:sz="8" w:space="0"/>
              <w:bottom w:val="single" w:color="FFFFFF" w:sz="8" w:space="0"/>
              <w:right w:val="single" w:color="FFFFFF" w:sz="8" w:space="0"/>
            </w:tcBorders>
            <w:shd w:val="clear" w:color="auto" w:fill="EDF2F8" w:themeFill="accent1" w:themeFillTint="19"/>
            <w:vAlign w:val="center"/>
          </w:tcPr>
          <w:p w14:paraId="7B4CC07C">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微软雅黑" w:hAnsi="微软雅黑" w:eastAsia="微软雅黑" w:cs="微软雅黑"/>
                <w:b w:val="0"/>
                <w:bCs/>
                <w:i w:val="0"/>
                <w:color w:val="000000"/>
                <w:sz w:val="28"/>
                <w:szCs w:val="28"/>
                <w:highlight w:val="none"/>
                <w:vertAlign w:val="baseline"/>
                <w:lang w:val="en-US" w:eastAsia="zh-CN"/>
              </w:rPr>
            </w:pPr>
            <w:r>
              <w:rPr>
                <w:rFonts w:hint="eastAsia" w:ascii="微软雅黑" w:hAnsi="微软雅黑" w:eastAsia="微软雅黑" w:cs="微软雅黑"/>
                <w:b w:val="0"/>
                <w:bCs/>
                <w:i w:val="0"/>
                <w:color w:val="000000"/>
                <w:sz w:val="28"/>
                <w:szCs w:val="28"/>
                <w:highlight w:val="none"/>
                <w:vertAlign w:val="baseline"/>
                <w:lang w:val="en-US" w:eastAsia="zh-CN"/>
              </w:rPr>
              <w:t>舞蹈</w:t>
            </w:r>
          </w:p>
        </w:tc>
        <w:tc>
          <w:tcPr>
            <w:tcW w:w="6762" w:type="dxa"/>
            <w:tcBorders>
              <w:top w:val="single" w:color="FFFFFF" w:sz="8" w:space="0"/>
              <w:left w:val="single" w:color="FFFFFF" w:sz="8" w:space="0"/>
              <w:bottom w:val="single" w:color="FFFFFF" w:sz="8" w:space="0"/>
              <w:right w:val="single" w:color="FFFFFF" w:sz="8" w:space="0"/>
            </w:tcBorders>
            <w:shd w:val="clear" w:color="auto" w:fill="EDF2F8" w:themeFill="accent1" w:themeFillTint="19"/>
            <w:vAlign w:val="center"/>
          </w:tcPr>
          <w:p w14:paraId="04A8D49A">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仿宋_GB2312" w:hAnsi="仿宋_GB2312" w:cs="仿宋_GB2312"/>
                <w:b w:val="0"/>
                <w:bCs/>
                <w:i w:val="0"/>
                <w:sz w:val="28"/>
                <w:szCs w:val="28"/>
                <w:highlight w:val="none"/>
                <w:vertAlign w:val="baseline"/>
                <w:lang w:val="en-US" w:eastAsia="zh-CN"/>
              </w:rPr>
            </w:pPr>
            <w:r>
              <w:rPr>
                <w:rFonts w:hint="eastAsia" w:ascii="宋体" w:hAnsi="宋体" w:eastAsia="仿宋_GB2312" w:cs="仿宋_GB2312"/>
                <w:b w:val="0"/>
                <w:i w:val="0"/>
                <w:color w:val="000000"/>
                <w:sz w:val="28"/>
                <w:szCs w:val="28"/>
                <w:highlight w:val="none"/>
                <w:lang w:val="en-US" w:eastAsia="zh-CN"/>
              </w:rPr>
              <w:t>舞蹈基训、民族民间舞、剧目、舞蹈即兴创编等</w:t>
            </w:r>
          </w:p>
        </w:tc>
      </w:tr>
      <w:tr w14:paraId="160C27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0" w:hRule="atLeast"/>
          <w:jc w:val="center"/>
        </w:trPr>
        <w:tc>
          <w:tcPr>
            <w:tcW w:w="1973" w:type="dxa"/>
            <w:tcBorders>
              <w:top w:val="single" w:color="FFFFFF" w:sz="8" w:space="0"/>
              <w:left w:val="single" w:color="FFFFFF" w:sz="8" w:space="0"/>
              <w:bottom w:val="single" w:color="FFFFFF" w:sz="8" w:space="0"/>
              <w:right w:val="single" w:color="FFFFFF" w:sz="8" w:space="0"/>
            </w:tcBorders>
            <w:shd w:val="clear" w:color="auto" w:fill="B8CCE4" w:themeFill="accent1" w:themeFillTint="66"/>
            <w:vAlign w:val="center"/>
          </w:tcPr>
          <w:p w14:paraId="486E33C7">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微软雅黑" w:hAnsi="微软雅黑" w:eastAsia="微软雅黑" w:cs="微软雅黑"/>
                <w:b w:val="0"/>
                <w:bCs/>
                <w:i w:val="0"/>
                <w:color w:val="000000"/>
                <w:sz w:val="28"/>
                <w:szCs w:val="28"/>
                <w:highlight w:val="none"/>
                <w:vertAlign w:val="baseline"/>
                <w:lang w:val="en-US" w:eastAsia="zh-CN"/>
              </w:rPr>
            </w:pPr>
            <w:r>
              <w:rPr>
                <w:rFonts w:hint="eastAsia" w:ascii="微软雅黑" w:hAnsi="微软雅黑" w:eastAsia="微软雅黑" w:cs="微软雅黑"/>
                <w:b w:val="0"/>
                <w:bCs/>
                <w:i w:val="0"/>
                <w:color w:val="000000"/>
                <w:sz w:val="28"/>
                <w:szCs w:val="28"/>
                <w:highlight w:val="none"/>
                <w:vertAlign w:val="baseline"/>
                <w:lang w:val="en-US" w:eastAsia="zh-CN"/>
              </w:rPr>
              <w:t>服装表演</w:t>
            </w:r>
          </w:p>
        </w:tc>
        <w:tc>
          <w:tcPr>
            <w:tcW w:w="6762" w:type="dxa"/>
            <w:tcBorders>
              <w:top w:val="single" w:color="FFFFFF" w:sz="8" w:space="0"/>
              <w:left w:val="single" w:color="FFFFFF" w:sz="8" w:space="0"/>
              <w:bottom w:val="single" w:color="FFFFFF" w:sz="8" w:space="0"/>
              <w:right w:val="single" w:color="FFFFFF" w:sz="8" w:space="0"/>
            </w:tcBorders>
            <w:shd w:val="clear" w:color="auto" w:fill="B8CCE4" w:themeFill="accent1" w:themeFillTint="66"/>
            <w:vAlign w:val="center"/>
          </w:tcPr>
          <w:p w14:paraId="699CBDA1">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仿宋_GB2312" w:hAnsi="仿宋_GB2312" w:cs="仿宋_GB2312"/>
                <w:b w:val="0"/>
                <w:bCs/>
                <w:i w:val="0"/>
                <w:sz w:val="28"/>
                <w:szCs w:val="28"/>
                <w:highlight w:val="none"/>
                <w:vertAlign w:val="baseline"/>
                <w:lang w:val="en-US" w:eastAsia="zh-CN"/>
              </w:rPr>
            </w:pPr>
            <w:r>
              <w:rPr>
                <w:rFonts w:hint="eastAsia" w:ascii="宋体" w:hAnsi="宋体" w:eastAsia="仿宋_GB2312" w:cs="仿宋_GB2312"/>
                <w:b w:val="0"/>
                <w:i w:val="0"/>
                <w:color w:val="000000"/>
                <w:sz w:val="28"/>
                <w:szCs w:val="28"/>
                <w:highlight w:val="none"/>
                <w:lang w:val="en-US" w:eastAsia="zh-CN"/>
              </w:rPr>
              <w:t>服装表演基本功、T台展示、造型训练、公共礼仪等</w:t>
            </w:r>
          </w:p>
        </w:tc>
      </w:tr>
    </w:tbl>
    <w:p w14:paraId="2B9CDD02">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宋体" w:hAnsi="宋体" w:eastAsia="黑体" w:cs="仿宋"/>
          <w:bCs/>
          <w:color w:val="000000"/>
          <w:highlight w:val="none"/>
          <w:lang w:val="en-US" w:eastAsia="zh-CN"/>
        </w:rPr>
      </w:pPr>
      <w:r>
        <w:rPr>
          <w:rFonts w:hint="eastAsia" w:eastAsia="黑体" w:cs="仿宋"/>
          <w:bCs/>
          <w:color w:val="000000"/>
          <w:highlight w:val="none"/>
          <w:lang w:val="en-US" w:eastAsia="zh-CN"/>
        </w:rPr>
        <w:t>八、专业介绍</w:t>
      </w:r>
    </w:p>
    <w:p w14:paraId="18A843CC">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eastAsia="楷体" w:cs="Times New Roman"/>
          <w:b w:val="0"/>
          <w:bCs/>
          <w:highlight w:val="none"/>
          <w:lang w:val="en-US" w:eastAsia="zh-CN"/>
        </w:rPr>
      </w:pPr>
      <w:r>
        <w:rPr>
          <w:rFonts w:hint="eastAsia" w:eastAsia="楷体" w:cs="Times New Roman"/>
          <w:b w:val="0"/>
          <w:bCs/>
          <w:highlight w:val="none"/>
          <w:lang w:val="en-US" w:eastAsia="zh-CN"/>
        </w:rPr>
        <w:t>（一）师资力量。</w:t>
      </w:r>
    </w:p>
    <w:p w14:paraId="1DBF9B28">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b w:val="0"/>
          <w:bCs/>
          <w:highlight w:val="none"/>
          <w:lang w:val="en-US" w:eastAsia="zh-CN"/>
        </w:rPr>
      </w:pPr>
      <w:r>
        <w:rPr>
          <w:rFonts w:hint="eastAsia" w:ascii="仿宋_GB2312" w:hAnsi="仿宋_GB2312" w:eastAsia="仿宋_GB2312" w:cs="仿宋_GB2312"/>
          <w:b w:val="0"/>
          <w:bCs/>
          <w:highlight w:val="none"/>
          <w:lang w:val="en-US" w:eastAsia="zh-CN"/>
        </w:rPr>
        <w:t>拥有一批省特级教师、齐鲁名师、齐鲁名班主任、省市级教学能手和学科带头人，双师型教师占86.67%，在省内外艺术届具有广泛影响力。</w:t>
      </w:r>
    </w:p>
    <w:p w14:paraId="1951A00F">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eastAsia="楷体" w:cs="Times New Roman"/>
          <w:b w:val="0"/>
          <w:bCs/>
          <w:highlight w:val="none"/>
          <w:lang w:val="en-US" w:eastAsia="zh-CN"/>
        </w:rPr>
      </w:pPr>
      <w:r>
        <w:rPr>
          <w:rFonts w:hint="eastAsia" w:eastAsia="楷体" w:cs="Times New Roman"/>
          <w:b w:val="0"/>
          <w:bCs/>
          <w:highlight w:val="none"/>
          <w:lang w:val="en-US" w:eastAsia="zh-CN"/>
        </w:rPr>
        <w:t>（二）办学条件。</w:t>
      </w:r>
    </w:p>
    <w:p w14:paraId="3882EF67">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b w:val="0"/>
          <w:bCs/>
          <w:highlight w:val="none"/>
          <w:lang w:val="en-US" w:eastAsia="zh-CN"/>
        </w:rPr>
      </w:pPr>
      <w:r>
        <w:rPr>
          <w:rFonts w:hint="eastAsia" w:ascii="仿宋_GB2312" w:hAnsi="仿宋_GB2312" w:eastAsia="仿宋_GB2312" w:cs="仿宋_GB2312"/>
          <w:b w:val="0"/>
          <w:bCs/>
          <w:highlight w:val="none"/>
          <w:lang w:val="en-US" w:eastAsia="zh-CN"/>
        </w:rPr>
        <w:t>所设专业均为市级A级专业，美术和音乐为市级品牌专业，综合艺术</w:t>
      </w:r>
      <w:r>
        <w:rPr>
          <w:rFonts w:hint="eastAsia" w:ascii="仿宋_GB2312" w:hAnsi="仿宋_GB2312" w:cs="仿宋_GB2312"/>
          <w:b w:val="0"/>
          <w:bCs/>
          <w:highlight w:val="none"/>
          <w:lang w:val="en-US" w:eastAsia="zh-CN"/>
        </w:rPr>
        <w:t>（服装表演）</w:t>
      </w:r>
      <w:r>
        <w:rPr>
          <w:rFonts w:hint="eastAsia" w:ascii="仿宋_GB2312" w:hAnsi="仿宋_GB2312" w:eastAsia="仿宋_GB2312" w:cs="仿宋_GB2312"/>
          <w:b w:val="0"/>
          <w:bCs/>
          <w:highlight w:val="none"/>
          <w:lang w:val="en-US" w:eastAsia="zh-CN"/>
        </w:rPr>
        <w:t>为市级艺术高水平专业群骨干专业，音乐为市级艺术高水平专业群重点培育专业。</w:t>
      </w:r>
    </w:p>
    <w:p w14:paraId="5B9EB4C9">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b w:val="0"/>
          <w:bCs/>
          <w:highlight w:val="none"/>
          <w:lang w:val="en-US" w:eastAsia="zh-CN"/>
        </w:rPr>
      </w:pPr>
      <w:r>
        <w:rPr>
          <w:rFonts w:hint="eastAsia" w:ascii="仿宋_GB2312" w:hAnsi="仿宋_GB2312" w:eastAsia="仿宋_GB2312" w:cs="仿宋_GB2312"/>
          <w:b w:val="0"/>
          <w:bCs/>
          <w:highlight w:val="none"/>
          <w:lang w:val="en-US" w:eastAsia="zh-CN"/>
        </w:rPr>
        <w:t>学校基础设施完善</w:t>
      </w:r>
      <w:r>
        <w:rPr>
          <w:rFonts w:hint="eastAsia" w:ascii="仿宋_GB2312" w:hAnsi="仿宋_GB2312" w:cs="仿宋_GB2312"/>
          <w:b w:val="0"/>
          <w:bCs/>
          <w:highlight w:val="none"/>
          <w:lang w:val="en-US" w:eastAsia="zh-CN"/>
        </w:rPr>
        <w:t>，</w:t>
      </w:r>
      <w:r>
        <w:rPr>
          <w:rFonts w:hint="eastAsia" w:ascii="仿宋_GB2312" w:hAnsi="仿宋_GB2312" w:eastAsia="仿宋_GB2312" w:cs="仿宋_GB2312"/>
          <w:b w:val="0"/>
          <w:bCs/>
          <w:highlight w:val="none"/>
          <w:lang w:val="en-US" w:eastAsia="zh-CN"/>
        </w:rPr>
        <w:t>有钢琴房</w:t>
      </w:r>
      <w:r>
        <w:rPr>
          <w:rFonts w:hint="eastAsia" w:ascii="仿宋_GB2312" w:hAnsi="仿宋_GB2312" w:cs="仿宋_GB2312"/>
          <w:b w:val="0"/>
          <w:bCs/>
          <w:highlight w:val="none"/>
          <w:lang w:val="en-US" w:eastAsia="zh-CN"/>
        </w:rPr>
        <w:t>127间</w:t>
      </w:r>
      <w:r>
        <w:rPr>
          <w:rFonts w:hint="eastAsia" w:ascii="仿宋_GB2312" w:hAnsi="仿宋_GB2312" w:eastAsia="仿宋_GB2312" w:cs="仿宋_GB2312"/>
          <w:b w:val="0"/>
          <w:bCs/>
          <w:highlight w:val="none"/>
          <w:lang w:val="en-US" w:eastAsia="zh-CN"/>
        </w:rPr>
        <w:t>、舞蹈房</w:t>
      </w:r>
      <w:r>
        <w:rPr>
          <w:rFonts w:hint="eastAsia" w:ascii="仿宋_GB2312" w:hAnsi="仿宋_GB2312" w:cs="仿宋_GB2312"/>
          <w:b w:val="0"/>
          <w:bCs/>
          <w:highlight w:val="none"/>
          <w:lang w:val="en-US" w:eastAsia="zh-CN"/>
        </w:rPr>
        <w:t>9间</w:t>
      </w:r>
      <w:r>
        <w:rPr>
          <w:rFonts w:hint="eastAsia" w:ascii="仿宋_GB2312" w:hAnsi="仿宋_GB2312" w:eastAsia="仿宋_GB2312" w:cs="仿宋_GB2312"/>
          <w:b w:val="0"/>
          <w:bCs/>
          <w:highlight w:val="none"/>
          <w:lang w:val="en-US" w:eastAsia="zh-CN"/>
        </w:rPr>
        <w:t>、画室</w:t>
      </w:r>
      <w:r>
        <w:rPr>
          <w:rFonts w:hint="eastAsia" w:ascii="仿宋_GB2312" w:hAnsi="仿宋_GB2312" w:cs="仿宋_GB2312"/>
          <w:b w:val="0"/>
          <w:bCs/>
          <w:highlight w:val="none"/>
          <w:lang w:val="en-US" w:eastAsia="zh-CN"/>
        </w:rPr>
        <w:t>34间</w:t>
      </w:r>
      <w:r>
        <w:rPr>
          <w:rFonts w:hint="eastAsia" w:ascii="仿宋_GB2312" w:hAnsi="仿宋_GB2312" w:eastAsia="仿宋_GB2312" w:cs="仿宋_GB2312"/>
          <w:b w:val="0"/>
          <w:bCs/>
          <w:highlight w:val="none"/>
          <w:lang w:val="en-US" w:eastAsia="zh-CN"/>
        </w:rPr>
        <w:t>、录播教室、摄影棚、录音棚、媒体机房、模拟教室等200多个专业实训室</w:t>
      </w:r>
      <w:r>
        <w:rPr>
          <w:rFonts w:hint="eastAsia" w:ascii="仿宋_GB2312" w:hAnsi="仿宋_GB2312" w:cs="仿宋_GB2312"/>
          <w:b w:val="0"/>
          <w:bCs/>
          <w:highlight w:val="none"/>
          <w:lang w:val="en-US" w:eastAsia="zh-CN"/>
        </w:rPr>
        <w:t>。</w:t>
      </w:r>
    </w:p>
    <w:p w14:paraId="49D43EB2">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eastAsia="楷体" w:cs="Times New Roman"/>
          <w:b w:val="0"/>
          <w:bCs/>
          <w:highlight w:val="none"/>
          <w:lang w:val="en-US" w:eastAsia="zh-CN"/>
        </w:rPr>
      </w:pPr>
      <w:r>
        <w:rPr>
          <w:rFonts w:hint="eastAsia" w:eastAsia="楷体" w:cs="Times New Roman"/>
          <w:b w:val="0"/>
          <w:bCs/>
          <w:highlight w:val="none"/>
          <w:lang w:val="en-US" w:eastAsia="zh-CN"/>
        </w:rPr>
        <w:t>（三）培养质量。</w:t>
      </w:r>
    </w:p>
    <w:p w14:paraId="158E3E28">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b w:val="0"/>
          <w:bCs/>
          <w:highlight w:val="none"/>
          <w:lang w:val="en-US" w:eastAsia="zh-CN"/>
        </w:rPr>
      </w:pPr>
      <w:r>
        <w:rPr>
          <w:rFonts w:hint="eastAsia" w:ascii="仿宋_GB2312" w:hAnsi="仿宋_GB2312" w:cs="仿宋_GB2312"/>
          <w:b w:val="0"/>
          <w:bCs/>
          <w:highlight w:val="none"/>
          <w:lang w:val="en-US" w:eastAsia="zh-CN"/>
        </w:rPr>
        <w:t>多年来，</w:t>
      </w:r>
      <w:r>
        <w:rPr>
          <w:rFonts w:hint="eastAsia" w:ascii="仿宋_GB2312" w:hAnsi="仿宋_GB2312" w:eastAsia="仿宋_GB2312" w:cs="仿宋_GB2312"/>
          <w:b w:val="0"/>
          <w:bCs/>
          <w:highlight w:val="none"/>
          <w:lang w:val="en-US" w:eastAsia="zh-CN"/>
        </w:rPr>
        <w:t>学校为山东大学、中南大学、中央民族大学等重点高校和中央美院、中国美院、西安美院、北京电影学院、中央戏剧学院、天津音乐学院等知名艺术院校输送了大批艺术人才。</w:t>
      </w:r>
    </w:p>
    <w:p w14:paraId="707D688D">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宋体" w:hAnsi="宋体" w:eastAsia="黑体" w:cs="仿宋"/>
          <w:bCs/>
          <w:color w:val="000000"/>
          <w:highlight w:val="none"/>
        </w:rPr>
      </w:pPr>
      <w:r>
        <w:rPr>
          <w:rFonts w:hint="eastAsia" w:eastAsia="黑体" w:cs="仿宋"/>
          <w:bCs/>
          <w:color w:val="000000"/>
          <w:highlight w:val="none"/>
          <w:lang w:val="en-US" w:eastAsia="zh-CN"/>
        </w:rPr>
        <w:t>九</w:t>
      </w:r>
      <w:r>
        <w:rPr>
          <w:rFonts w:hint="eastAsia" w:ascii="宋体" w:hAnsi="宋体" w:eastAsia="黑体" w:cs="仿宋"/>
          <w:bCs/>
          <w:color w:val="000000"/>
          <w:highlight w:val="none"/>
        </w:rPr>
        <w:t>、培养方式</w:t>
      </w:r>
    </w:p>
    <w:p w14:paraId="6A94673B">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宋体" w:hAnsi="宋体" w:eastAsia="仿宋_GB2312" w:cs="仿宋_GB2312"/>
          <w:color w:val="000000"/>
          <w:highlight w:val="none"/>
          <w:lang w:val="en-US" w:eastAsia="zh-CN"/>
        </w:rPr>
      </w:pPr>
      <w:r>
        <w:rPr>
          <w:rFonts w:hint="eastAsia" w:cs="仿宋_GB2312"/>
          <w:color w:val="000000"/>
          <w:highlight w:val="none"/>
          <w:lang w:val="en-US" w:eastAsia="zh-CN"/>
        </w:rPr>
        <w:t>普通高中实行全市统一的教学计划与课程安排，学生参加夏季高考升学；艺术高中在此基础上</w:t>
      </w:r>
      <w:r>
        <w:rPr>
          <w:rFonts w:hint="eastAsia" w:ascii="宋体" w:hAnsi="宋体" w:eastAsia="仿宋_GB2312" w:cs="仿宋_GB2312"/>
          <w:color w:val="000000"/>
          <w:highlight w:val="none"/>
          <w:lang w:val="en-US" w:eastAsia="zh-CN"/>
        </w:rPr>
        <w:t>实行普通高中文化课和艺术专业课相结合的课程体系，</w:t>
      </w:r>
      <w:r>
        <w:rPr>
          <w:rFonts w:hint="eastAsia" w:cs="仿宋_GB2312"/>
          <w:color w:val="000000"/>
          <w:highlight w:val="none"/>
          <w:lang w:val="en-US" w:eastAsia="zh-CN"/>
        </w:rPr>
        <w:t>学生</w:t>
      </w:r>
      <w:r>
        <w:rPr>
          <w:rFonts w:hint="eastAsia" w:ascii="宋体" w:hAnsi="宋体" w:eastAsia="仿宋_GB2312" w:cs="仿宋_GB2312"/>
          <w:color w:val="000000"/>
          <w:highlight w:val="none"/>
          <w:lang w:val="en-US" w:eastAsia="zh-CN"/>
        </w:rPr>
        <w:t>参加艺术</w:t>
      </w:r>
      <w:r>
        <w:rPr>
          <w:rFonts w:hint="eastAsia" w:cs="仿宋_GB2312"/>
          <w:color w:val="000000"/>
          <w:highlight w:val="none"/>
          <w:lang w:val="en-US" w:eastAsia="zh-CN"/>
        </w:rPr>
        <w:t>统考</w:t>
      </w:r>
      <w:r>
        <w:rPr>
          <w:rFonts w:hint="eastAsia" w:ascii="宋体" w:hAnsi="宋体" w:eastAsia="仿宋_GB2312" w:cs="仿宋_GB2312"/>
          <w:color w:val="000000"/>
          <w:highlight w:val="none"/>
          <w:lang w:val="en-US" w:eastAsia="zh-CN"/>
        </w:rPr>
        <w:t>和夏季高考，通过艺术高考升学。</w:t>
      </w:r>
    </w:p>
    <w:p w14:paraId="78D0F95E">
      <w:pPr>
        <w:keepNext w:val="0"/>
        <w:keepLines w:val="0"/>
        <w:pageBreakBefore w:val="0"/>
        <w:widowControl w:val="0"/>
        <w:kinsoku/>
        <w:wordWrap/>
        <w:overflowPunct/>
        <w:topLinePunct w:val="0"/>
        <w:autoSpaceDE/>
        <w:autoSpaceDN/>
        <w:bidi w:val="0"/>
        <w:adjustRightInd/>
        <w:snapToGrid/>
        <w:spacing w:line="578" w:lineRule="exact"/>
        <w:ind w:firstLine="648"/>
        <w:textAlignment w:val="auto"/>
        <w:rPr>
          <w:rFonts w:hint="eastAsia" w:ascii="宋体" w:hAnsi="宋体" w:eastAsia="仿宋_GB2312" w:cs="仿宋_GB2312"/>
          <w:color w:val="000000"/>
          <w:highlight w:val="none"/>
        </w:rPr>
      </w:pPr>
      <w:r>
        <w:rPr>
          <w:rFonts w:hint="eastAsia" w:ascii="宋体" w:hAnsi="宋体" w:eastAsia="仿宋_GB2312" w:cs="仿宋_GB2312"/>
          <w:color w:val="000000"/>
          <w:highlight w:val="none"/>
        </w:rPr>
        <w:t>未尽事宜由山东省威海艺术学校负责解释。招生咨询电话：</w:t>
      </w:r>
      <w:r>
        <w:rPr>
          <w:rFonts w:hint="eastAsia" w:ascii="宋体" w:hAnsi="宋体" w:eastAsiaTheme="minorEastAsia" w:cstheme="minorEastAsia"/>
          <w:color w:val="000000"/>
          <w:highlight w:val="none"/>
          <w:lang w:val="en-US" w:eastAsia="zh-CN"/>
        </w:rPr>
        <w:t>0631-</w:t>
      </w:r>
      <w:r>
        <w:rPr>
          <w:rFonts w:hint="eastAsia" w:ascii="宋体" w:hAnsi="宋体" w:eastAsiaTheme="minorEastAsia" w:cstheme="minorEastAsia"/>
          <w:color w:val="000000"/>
          <w:highlight w:val="none"/>
        </w:rPr>
        <w:t>5759777</w:t>
      </w:r>
      <w:r>
        <w:rPr>
          <w:rFonts w:hint="eastAsia" w:ascii="宋体" w:hAnsi="宋体" w:eastAsia="仿宋_GB2312" w:cs="仿宋_GB2312"/>
          <w:color w:val="000000"/>
          <w:highlight w:val="none"/>
        </w:rPr>
        <w:t>。</w:t>
      </w:r>
    </w:p>
    <w:p w14:paraId="7A7B821C">
      <w:pPr>
        <w:pStyle w:val="4"/>
        <w:rPr>
          <w:rFonts w:hint="eastAsia" w:ascii="宋体" w:hAnsi="宋体" w:eastAsia="仿宋_GB2312" w:cs="仿宋_GB2312"/>
          <w:color w:val="000000"/>
          <w:highlight w:val="none"/>
        </w:rPr>
      </w:pPr>
    </w:p>
    <w:p w14:paraId="2367BF88">
      <w:pPr>
        <w:pStyle w:val="4"/>
        <w:rPr>
          <w:rFonts w:hint="eastAsia" w:ascii="宋体" w:hAnsi="宋体" w:eastAsia="仿宋_GB2312" w:cs="仿宋_GB2312"/>
          <w:color w:val="000000"/>
          <w:highlight w:val="none"/>
        </w:rPr>
      </w:pPr>
    </w:p>
    <w:p w14:paraId="64306DE6">
      <w:pPr>
        <w:pStyle w:val="4"/>
        <w:rPr>
          <w:rFonts w:hint="eastAsia" w:ascii="宋体" w:hAnsi="宋体" w:eastAsia="仿宋_GB2312" w:cs="仿宋_GB2312"/>
          <w:color w:val="000000"/>
          <w:highlight w:val="none"/>
        </w:rPr>
      </w:pPr>
    </w:p>
    <w:p w14:paraId="45788336">
      <w:pPr>
        <w:pStyle w:val="4"/>
        <w:jc w:val="right"/>
        <w:rPr>
          <w:rFonts w:hint="eastAsia" w:hAnsi="宋体" w:cs="仿宋_GB2312"/>
          <w:color w:val="000000"/>
          <w:highlight w:val="none"/>
          <w:lang w:val="en-US" w:eastAsia="zh-CN"/>
        </w:rPr>
      </w:pPr>
      <w:r>
        <w:rPr>
          <w:rFonts w:hint="eastAsia" w:hAnsi="宋体" w:cs="仿宋_GB2312"/>
          <w:color w:val="000000"/>
          <w:highlight w:val="none"/>
          <w:lang w:val="en-US" w:eastAsia="zh-CN"/>
        </w:rPr>
        <w:t>山东省威海艺术学校</w:t>
      </w:r>
    </w:p>
    <w:p w14:paraId="42121043">
      <w:pPr>
        <w:pStyle w:val="4"/>
        <w:wordWrap w:val="0"/>
        <w:jc w:val="right"/>
        <w:rPr>
          <w:rFonts w:hint="default" w:hAnsi="宋体" w:cs="仿宋_GB2312"/>
          <w:color w:val="000000"/>
          <w:highlight w:val="none"/>
          <w:lang w:val="en-US" w:eastAsia="zh-CN"/>
        </w:rPr>
      </w:pPr>
      <w:r>
        <w:rPr>
          <w:rFonts w:hint="eastAsia" w:hAnsi="宋体" w:cs="仿宋_GB2312"/>
          <w:color w:val="000000"/>
          <w:highlight w:val="none"/>
          <w:lang w:val="en-US" w:eastAsia="zh-CN"/>
        </w:rPr>
        <w:t xml:space="preserve">2025年3月10日 </w:t>
      </w:r>
    </w:p>
    <w:p w14:paraId="196C8737">
      <w:pPr>
        <w:rPr>
          <w:rFonts w:hint="eastAsia" w:ascii="黑体" w:hAnsi="黑体" w:eastAsia="黑体" w:cs="黑体"/>
          <w:sz w:val="32"/>
          <w:szCs w:val="32"/>
          <w:highlight w:val="none"/>
          <w:lang w:eastAsia="zh-CN"/>
        </w:rPr>
      </w:pPr>
      <w:r>
        <w:rPr>
          <w:rFonts w:hint="eastAsia" w:ascii="黑体" w:hAnsi="黑体" w:eastAsia="黑体" w:cs="黑体"/>
          <w:sz w:val="32"/>
          <w:szCs w:val="32"/>
          <w:highlight w:val="none"/>
          <w:lang w:eastAsia="zh-CN"/>
        </w:rPr>
        <w:br w:type="page"/>
      </w:r>
    </w:p>
    <w:p w14:paraId="68640504">
      <w:pPr>
        <w:numPr>
          <w:ilvl w:val="0"/>
          <w:numId w:val="0"/>
        </w:numPr>
        <w:spacing w:line="578" w:lineRule="exact"/>
        <w:jc w:val="both"/>
        <w:rPr>
          <w:rFonts w:hint="eastAsia" w:ascii="黑体" w:hAnsi="黑体" w:eastAsia="黑体" w:cs="黑体"/>
          <w:sz w:val="32"/>
          <w:szCs w:val="32"/>
          <w:highlight w:val="none"/>
          <w:lang w:val="en-US" w:eastAsia="zh-CN"/>
        </w:rPr>
      </w:pPr>
      <w:r>
        <w:rPr>
          <w:rFonts w:hint="eastAsia" w:ascii="黑体" w:hAnsi="黑体" w:eastAsia="黑体" w:cs="黑体"/>
          <w:sz w:val="32"/>
          <w:szCs w:val="32"/>
          <w:highlight w:val="none"/>
          <w:lang w:eastAsia="zh-CN"/>
        </w:rPr>
        <w:t>附件</w:t>
      </w:r>
      <w:r>
        <w:rPr>
          <w:rFonts w:hint="eastAsia" w:ascii="黑体" w:hAnsi="黑体" w:eastAsia="黑体" w:cs="黑体"/>
          <w:sz w:val="32"/>
          <w:szCs w:val="32"/>
          <w:highlight w:val="none"/>
          <w:lang w:val="en-US" w:eastAsia="zh-CN"/>
        </w:rPr>
        <w:t xml:space="preserve">         </w:t>
      </w:r>
    </w:p>
    <w:p w14:paraId="21BF5A74">
      <w:pPr>
        <w:numPr>
          <w:ilvl w:val="0"/>
          <w:numId w:val="0"/>
        </w:numPr>
        <w:spacing w:line="578" w:lineRule="exact"/>
        <w:jc w:val="center"/>
        <w:rPr>
          <w:rFonts w:hint="default" w:ascii="方正小标宋简体" w:hAnsi="仿宋" w:eastAsia="方正小标宋简体" w:cs="仿宋"/>
          <w:sz w:val="44"/>
          <w:szCs w:val="44"/>
          <w:highlight w:val="none"/>
          <w:lang w:val="en-US" w:eastAsia="zh-CN"/>
        </w:rPr>
      </w:pPr>
      <w:r>
        <w:rPr>
          <w:rFonts w:hint="eastAsia" w:ascii="方正小标宋简体" w:hAnsi="仿宋" w:eastAsia="方正小标宋简体" w:cs="仿宋"/>
          <w:sz w:val="44"/>
          <w:szCs w:val="44"/>
          <w:highlight w:val="none"/>
          <w:lang w:val="en-US" w:eastAsia="zh-CN"/>
        </w:rPr>
        <w:t>山东省威海艺术学校</w:t>
      </w:r>
    </w:p>
    <w:p w14:paraId="59679A3C">
      <w:pPr>
        <w:numPr>
          <w:ilvl w:val="0"/>
          <w:numId w:val="0"/>
        </w:numPr>
        <w:spacing w:line="578" w:lineRule="exact"/>
        <w:jc w:val="center"/>
        <w:rPr>
          <w:rFonts w:hint="eastAsia" w:ascii="方正小标宋简体" w:hAnsi="仿宋" w:eastAsia="方正小标宋简体" w:cs="仿宋"/>
          <w:sz w:val="44"/>
          <w:szCs w:val="44"/>
          <w:highlight w:val="none"/>
          <w:lang w:val="en-US" w:eastAsia="zh-CN"/>
        </w:rPr>
      </w:pPr>
      <w:r>
        <w:rPr>
          <w:rFonts w:hint="eastAsia" w:ascii="方正小标宋简体" w:hAnsi="仿宋" w:eastAsia="方正小标宋简体" w:cs="仿宋"/>
          <w:sz w:val="44"/>
          <w:szCs w:val="44"/>
          <w:highlight w:val="none"/>
          <w:lang w:val="en-US" w:eastAsia="zh-CN"/>
        </w:rPr>
        <w:t>2025年</w:t>
      </w:r>
      <w:r>
        <w:rPr>
          <w:rFonts w:hint="eastAsia" w:ascii="方正小标宋简体" w:hAnsi="仿宋" w:eastAsia="方正小标宋简体" w:cs="仿宋"/>
          <w:sz w:val="44"/>
          <w:szCs w:val="44"/>
          <w:highlight w:val="none"/>
          <w:lang w:eastAsia="zh-CN"/>
        </w:rPr>
        <w:t>综合艺术（</w:t>
      </w:r>
      <w:r>
        <w:rPr>
          <w:rFonts w:hint="eastAsia" w:ascii="方正小标宋简体" w:hAnsi="仿宋" w:eastAsia="方正小标宋简体" w:cs="仿宋"/>
          <w:sz w:val="44"/>
          <w:szCs w:val="44"/>
          <w:highlight w:val="none"/>
          <w:lang w:val="en-US" w:eastAsia="zh-CN"/>
        </w:rPr>
        <w:t>服装表演</w:t>
      </w:r>
      <w:r>
        <w:rPr>
          <w:rFonts w:hint="eastAsia" w:ascii="方正小标宋简体" w:hAnsi="仿宋" w:eastAsia="方正小标宋简体" w:cs="仿宋"/>
          <w:sz w:val="44"/>
          <w:szCs w:val="44"/>
          <w:highlight w:val="none"/>
          <w:lang w:eastAsia="zh-CN"/>
        </w:rPr>
        <w:t>）</w:t>
      </w:r>
      <w:r>
        <w:rPr>
          <w:rFonts w:hint="eastAsia" w:ascii="方正小标宋简体" w:hAnsi="仿宋" w:eastAsia="方正小标宋简体" w:cs="仿宋"/>
          <w:sz w:val="44"/>
          <w:szCs w:val="44"/>
          <w:highlight w:val="none"/>
          <w:lang w:val="en-US" w:eastAsia="zh-CN"/>
        </w:rPr>
        <w:t>专业</w:t>
      </w:r>
    </w:p>
    <w:p w14:paraId="0346B207">
      <w:pPr>
        <w:autoSpaceDE w:val="0"/>
        <w:autoSpaceDN w:val="0"/>
        <w:adjustRightInd w:val="0"/>
        <w:spacing w:line="578" w:lineRule="exact"/>
        <w:jc w:val="center"/>
        <w:rPr>
          <w:rFonts w:eastAsia="楷体_GB2312"/>
          <w:sz w:val="44"/>
          <w:szCs w:val="44"/>
          <w:highlight w:val="none"/>
        </w:rPr>
      </w:pPr>
      <w:r>
        <w:rPr>
          <w:rFonts w:hint="eastAsia" w:ascii="方正小标宋简体" w:hAnsi="仿宋" w:eastAsia="方正小标宋简体" w:cs="仿宋"/>
          <w:sz w:val="44"/>
          <w:szCs w:val="44"/>
          <w:highlight w:val="none"/>
        </w:rPr>
        <w:t>测试办法与评分标准</w:t>
      </w:r>
    </w:p>
    <w:p w14:paraId="27E29850">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eastAsia="楷体_GB2312"/>
          <w:highlight w:val="none"/>
          <w:lang w:eastAsia="zh-CN"/>
        </w:rPr>
      </w:pPr>
      <w:r>
        <w:rPr>
          <w:rFonts w:hint="eastAsia" w:ascii="黑体" w:hAnsi="黑体" w:eastAsia="黑体" w:cs="黑体"/>
          <w:highlight w:val="none"/>
          <w:lang w:eastAsia="zh-CN"/>
        </w:rPr>
        <w:t>一、考试内容</w:t>
      </w:r>
    </w:p>
    <w:p w14:paraId="5D1BCCA5">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eastAsia="仿宋_GB2312"/>
          <w:highlight w:val="none"/>
        </w:rPr>
      </w:pPr>
      <w:r>
        <w:rPr>
          <w:rFonts w:eastAsia="仿宋_GB2312"/>
          <w:highlight w:val="none"/>
        </w:rPr>
        <w:t>1．测量身高、体重、三围（70分）</w:t>
      </w:r>
      <w:r>
        <w:rPr>
          <w:rFonts w:hint="eastAsia" w:eastAsia="仿宋_GB2312"/>
          <w:highlight w:val="none"/>
        </w:rPr>
        <w:t>：</w:t>
      </w:r>
      <w:r>
        <w:rPr>
          <w:rFonts w:eastAsia="仿宋_GB2312"/>
          <w:highlight w:val="none"/>
        </w:rPr>
        <w:t>身高女168cm、男178cm以上；体重女生50-60kg、男生70-80kg；三围（胸腰臀）女生82-85、60-63、85-88cm（±2）</w:t>
      </w:r>
      <w:r>
        <w:rPr>
          <w:rFonts w:hint="eastAsia" w:eastAsia="仿宋_GB2312"/>
          <w:highlight w:val="none"/>
        </w:rPr>
        <w:t>，</w:t>
      </w:r>
      <w:r>
        <w:rPr>
          <w:rFonts w:eastAsia="仿宋_GB2312"/>
          <w:highlight w:val="none"/>
        </w:rPr>
        <w:t>男生95-98、73-76、92-95cm（±2）。考核身体匀称比例等。</w:t>
      </w:r>
    </w:p>
    <w:p w14:paraId="78C6EBD1">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eastAsia="仿宋_GB2312"/>
          <w:highlight w:val="none"/>
        </w:rPr>
      </w:pPr>
      <w:r>
        <w:rPr>
          <w:rFonts w:eastAsia="仿宋_GB2312"/>
          <w:highlight w:val="none"/>
        </w:rPr>
        <w:t>2．自选才艺展示（30分）：以音乐、舞蹈等才艺为主。考核艺术表现力、才艺难度。</w:t>
      </w:r>
    </w:p>
    <w:p w14:paraId="798D992D">
      <w:pPr>
        <w:spacing w:line="578" w:lineRule="exact"/>
        <w:ind w:firstLine="640" w:firstLineChars="200"/>
        <w:rPr>
          <w:rFonts w:hint="eastAsia" w:ascii="黑体" w:hAnsi="黑体" w:eastAsia="黑体" w:cs="黑体"/>
          <w:highlight w:val="none"/>
          <w:lang w:eastAsia="zh-CN"/>
        </w:rPr>
      </w:pPr>
      <w:r>
        <w:rPr>
          <w:rFonts w:hint="eastAsia" w:ascii="黑体" w:hAnsi="黑体" w:eastAsia="黑体" w:cs="黑体"/>
          <w:highlight w:val="none"/>
          <w:lang w:eastAsia="zh-CN"/>
        </w:rPr>
        <w:t>二、评分细则</w:t>
      </w:r>
    </w:p>
    <w:tbl>
      <w:tblPr>
        <w:tblStyle w:val="9"/>
        <w:tblW w:w="907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94"/>
        <w:gridCol w:w="1977"/>
        <w:gridCol w:w="3927"/>
        <w:gridCol w:w="1268"/>
        <w:gridCol w:w="710"/>
      </w:tblGrid>
      <w:tr w14:paraId="36CB1D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trPr>
        <w:tc>
          <w:tcPr>
            <w:tcW w:w="3171" w:type="dxa"/>
            <w:gridSpan w:val="2"/>
            <w:noWrap w:val="0"/>
            <w:vAlign w:val="center"/>
          </w:tcPr>
          <w:p w14:paraId="4453D68A">
            <w:pPr>
              <w:jc w:val="center"/>
              <w:rPr>
                <w:rFonts w:eastAsia="黑体"/>
                <w:sz w:val="24"/>
                <w:szCs w:val="24"/>
                <w:highlight w:val="none"/>
              </w:rPr>
            </w:pPr>
            <w:r>
              <w:rPr>
                <w:rFonts w:eastAsia="黑体"/>
                <w:sz w:val="24"/>
                <w:szCs w:val="24"/>
                <w:highlight w:val="none"/>
              </w:rPr>
              <w:t>考试内容</w:t>
            </w:r>
          </w:p>
        </w:tc>
        <w:tc>
          <w:tcPr>
            <w:tcW w:w="3927" w:type="dxa"/>
            <w:noWrap w:val="0"/>
            <w:vAlign w:val="center"/>
          </w:tcPr>
          <w:p w14:paraId="2504C2FD">
            <w:pPr>
              <w:jc w:val="center"/>
              <w:rPr>
                <w:rFonts w:eastAsia="黑体"/>
                <w:sz w:val="24"/>
                <w:szCs w:val="24"/>
                <w:highlight w:val="none"/>
              </w:rPr>
            </w:pPr>
            <w:r>
              <w:rPr>
                <w:rFonts w:eastAsia="黑体"/>
                <w:sz w:val="24"/>
                <w:szCs w:val="24"/>
                <w:highlight w:val="none"/>
              </w:rPr>
              <w:t>考核标准</w:t>
            </w:r>
          </w:p>
        </w:tc>
        <w:tc>
          <w:tcPr>
            <w:tcW w:w="1268" w:type="dxa"/>
            <w:noWrap w:val="0"/>
            <w:vAlign w:val="center"/>
          </w:tcPr>
          <w:p w14:paraId="5586BE11">
            <w:pPr>
              <w:jc w:val="center"/>
              <w:rPr>
                <w:rFonts w:eastAsia="黑体"/>
                <w:sz w:val="24"/>
                <w:szCs w:val="24"/>
                <w:highlight w:val="none"/>
              </w:rPr>
            </w:pPr>
            <w:r>
              <w:rPr>
                <w:rFonts w:eastAsia="黑体"/>
                <w:sz w:val="24"/>
                <w:szCs w:val="24"/>
                <w:highlight w:val="none"/>
              </w:rPr>
              <w:t>打分区间</w:t>
            </w:r>
          </w:p>
        </w:tc>
        <w:tc>
          <w:tcPr>
            <w:tcW w:w="710" w:type="dxa"/>
            <w:noWrap w:val="0"/>
            <w:vAlign w:val="center"/>
          </w:tcPr>
          <w:p w14:paraId="0B6FA93D">
            <w:pPr>
              <w:jc w:val="center"/>
              <w:rPr>
                <w:rFonts w:eastAsia="黑体"/>
                <w:sz w:val="24"/>
                <w:szCs w:val="24"/>
                <w:highlight w:val="none"/>
              </w:rPr>
            </w:pPr>
            <w:r>
              <w:rPr>
                <w:rFonts w:eastAsia="黑体"/>
                <w:sz w:val="24"/>
                <w:szCs w:val="24"/>
                <w:highlight w:val="none"/>
              </w:rPr>
              <w:t>备注</w:t>
            </w:r>
          </w:p>
        </w:tc>
      </w:tr>
      <w:tr w14:paraId="127679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1194" w:type="dxa"/>
            <w:vMerge w:val="restart"/>
            <w:noWrap w:val="0"/>
            <w:vAlign w:val="center"/>
          </w:tcPr>
          <w:p w14:paraId="08663637">
            <w:pPr>
              <w:spacing w:line="0" w:lineRule="atLeast"/>
              <w:jc w:val="center"/>
              <w:rPr>
                <w:sz w:val="24"/>
                <w:szCs w:val="24"/>
                <w:highlight w:val="none"/>
              </w:rPr>
            </w:pPr>
            <w:r>
              <w:rPr>
                <w:sz w:val="24"/>
                <w:szCs w:val="24"/>
                <w:highlight w:val="none"/>
              </w:rPr>
              <w:t>身高、体重、三围</w:t>
            </w:r>
          </w:p>
          <w:p w14:paraId="47A360DA">
            <w:pPr>
              <w:spacing w:line="0" w:lineRule="atLeast"/>
              <w:jc w:val="center"/>
              <w:rPr>
                <w:sz w:val="24"/>
                <w:szCs w:val="24"/>
                <w:highlight w:val="none"/>
              </w:rPr>
            </w:pPr>
            <w:r>
              <w:rPr>
                <w:sz w:val="24"/>
                <w:szCs w:val="24"/>
                <w:highlight w:val="none"/>
              </w:rPr>
              <w:t>（70分）</w:t>
            </w:r>
          </w:p>
        </w:tc>
        <w:tc>
          <w:tcPr>
            <w:tcW w:w="1977" w:type="dxa"/>
            <w:vMerge w:val="restart"/>
            <w:noWrap w:val="0"/>
            <w:vAlign w:val="center"/>
          </w:tcPr>
          <w:p w14:paraId="305A62EC">
            <w:pPr>
              <w:spacing w:line="0" w:lineRule="atLeast"/>
              <w:rPr>
                <w:rFonts w:hint="eastAsia" w:eastAsia="仿宋_GB2312"/>
                <w:sz w:val="24"/>
                <w:szCs w:val="24"/>
                <w:highlight w:val="none"/>
                <w:lang w:eastAsia="zh-CN"/>
              </w:rPr>
            </w:pPr>
            <w:r>
              <w:rPr>
                <w:sz w:val="24"/>
                <w:szCs w:val="24"/>
                <w:highlight w:val="none"/>
              </w:rPr>
              <w:t>身高</w:t>
            </w:r>
            <w:r>
              <w:rPr>
                <w:rFonts w:hint="eastAsia"/>
                <w:sz w:val="24"/>
                <w:szCs w:val="24"/>
                <w:highlight w:val="none"/>
                <w:lang w:eastAsia="zh-CN"/>
              </w:rPr>
              <w:t>：</w:t>
            </w:r>
          </w:p>
          <w:p w14:paraId="7A96ABA8">
            <w:pPr>
              <w:spacing w:line="0" w:lineRule="atLeast"/>
              <w:rPr>
                <w:sz w:val="24"/>
                <w:szCs w:val="24"/>
                <w:highlight w:val="none"/>
              </w:rPr>
            </w:pPr>
            <w:r>
              <w:rPr>
                <w:sz w:val="24"/>
                <w:szCs w:val="24"/>
                <w:highlight w:val="none"/>
              </w:rPr>
              <w:t>女生168cm以上、男生178cm以上</w:t>
            </w:r>
          </w:p>
          <w:p w14:paraId="2573CBCB">
            <w:pPr>
              <w:spacing w:line="0" w:lineRule="atLeast"/>
              <w:jc w:val="center"/>
              <w:rPr>
                <w:sz w:val="24"/>
                <w:szCs w:val="24"/>
                <w:highlight w:val="none"/>
              </w:rPr>
            </w:pPr>
            <w:r>
              <w:rPr>
                <w:sz w:val="24"/>
                <w:szCs w:val="24"/>
                <w:highlight w:val="none"/>
              </w:rPr>
              <w:t>（30分）</w:t>
            </w:r>
          </w:p>
        </w:tc>
        <w:tc>
          <w:tcPr>
            <w:tcW w:w="3927" w:type="dxa"/>
            <w:noWrap w:val="0"/>
            <w:vAlign w:val="top"/>
          </w:tcPr>
          <w:p w14:paraId="30B7FBB0">
            <w:pPr>
              <w:spacing w:line="0" w:lineRule="atLeast"/>
              <w:rPr>
                <w:sz w:val="24"/>
                <w:szCs w:val="24"/>
                <w:highlight w:val="none"/>
              </w:rPr>
            </w:pPr>
            <w:r>
              <w:rPr>
                <w:sz w:val="24"/>
                <w:szCs w:val="24"/>
                <w:highlight w:val="none"/>
              </w:rPr>
              <w:t>A、完全符合标准</w:t>
            </w:r>
          </w:p>
        </w:tc>
        <w:tc>
          <w:tcPr>
            <w:tcW w:w="1268" w:type="dxa"/>
            <w:noWrap w:val="0"/>
            <w:vAlign w:val="center"/>
          </w:tcPr>
          <w:p w14:paraId="5CAD26AE">
            <w:pPr>
              <w:spacing w:line="0" w:lineRule="atLeast"/>
              <w:jc w:val="center"/>
              <w:rPr>
                <w:sz w:val="24"/>
                <w:szCs w:val="24"/>
                <w:highlight w:val="none"/>
              </w:rPr>
            </w:pPr>
            <w:r>
              <w:rPr>
                <w:sz w:val="24"/>
                <w:szCs w:val="24"/>
                <w:highlight w:val="none"/>
              </w:rPr>
              <w:t>21—30分</w:t>
            </w:r>
          </w:p>
        </w:tc>
        <w:tc>
          <w:tcPr>
            <w:tcW w:w="710" w:type="dxa"/>
            <w:vMerge w:val="restart"/>
            <w:noWrap w:val="0"/>
            <w:vAlign w:val="center"/>
          </w:tcPr>
          <w:p w14:paraId="751A64F4">
            <w:pPr>
              <w:spacing w:line="0" w:lineRule="atLeast"/>
              <w:rPr>
                <w:sz w:val="24"/>
                <w:szCs w:val="24"/>
                <w:highlight w:val="none"/>
              </w:rPr>
            </w:pPr>
            <w:r>
              <w:rPr>
                <w:sz w:val="24"/>
                <w:szCs w:val="24"/>
                <w:highlight w:val="none"/>
              </w:rPr>
              <w:t>结合形象气质观察，有一项D级直接淘汰</w:t>
            </w:r>
          </w:p>
        </w:tc>
      </w:tr>
      <w:tr w14:paraId="3953EC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94" w:type="dxa"/>
            <w:vMerge w:val="continue"/>
            <w:noWrap w:val="0"/>
            <w:vAlign w:val="top"/>
          </w:tcPr>
          <w:p w14:paraId="763462E3">
            <w:pPr>
              <w:spacing w:line="0" w:lineRule="atLeast"/>
              <w:rPr>
                <w:sz w:val="24"/>
                <w:szCs w:val="24"/>
                <w:highlight w:val="none"/>
              </w:rPr>
            </w:pPr>
          </w:p>
        </w:tc>
        <w:tc>
          <w:tcPr>
            <w:tcW w:w="1977" w:type="dxa"/>
            <w:vMerge w:val="continue"/>
            <w:noWrap w:val="0"/>
            <w:vAlign w:val="center"/>
          </w:tcPr>
          <w:p w14:paraId="45BDC0EC">
            <w:pPr>
              <w:spacing w:line="0" w:lineRule="atLeast"/>
              <w:jc w:val="center"/>
              <w:rPr>
                <w:sz w:val="24"/>
                <w:szCs w:val="24"/>
                <w:highlight w:val="none"/>
              </w:rPr>
            </w:pPr>
          </w:p>
        </w:tc>
        <w:tc>
          <w:tcPr>
            <w:tcW w:w="3927" w:type="dxa"/>
            <w:noWrap w:val="0"/>
            <w:vAlign w:val="top"/>
          </w:tcPr>
          <w:p w14:paraId="7731E634">
            <w:pPr>
              <w:spacing w:line="0" w:lineRule="atLeast"/>
              <w:rPr>
                <w:sz w:val="24"/>
                <w:szCs w:val="24"/>
                <w:highlight w:val="none"/>
              </w:rPr>
            </w:pPr>
            <w:r>
              <w:rPr>
                <w:sz w:val="24"/>
                <w:szCs w:val="24"/>
                <w:highlight w:val="none"/>
              </w:rPr>
              <w:t>B、基本符合标准</w:t>
            </w:r>
          </w:p>
        </w:tc>
        <w:tc>
          <w:tcPr>
            <w:tcW w:w="1268" w:type="dxa"/>
            <w:noWrap w:val="0"/>
            <w:vAlign w:val="center"/>
          </w:tcPr>
          <w:p w14:paraId="28A0510B">
            <w:pPr>
              <w:spacing w:line="0" w:lineRule="atLeast"/>
              <w:jc w:val="center"/>
              <w:rPr>
                <w:sz w:val="24"/>
                <w:szCs w:val="24"/>
                <w:highlight w:val="none"/>
              </w:rPr>
            </w:pPr>
            <w:r>
              <w:rPr>
                <w:sz w:val="24"/>
                <w:szCs w:val="24"/>
                <w:highlight w:val="none"/>
              </w:rPr>
              <w:t>11—20分</w:t>
            </w:r>
          </w:p>
        </w:tc>
        <w:tc>
          <w:tcPr>
            <w:tcW w:w="710" w:type="dxa"/>
            <w:vMerge w:val="continue"/>
            <w:noWrap w:val="0"/>
            <w:vAlign w:val="top"/>
          </w:tcPr>
          <w:p w14:paraId="1E00B6BF">
            <w:pPr>
              <w:spacing w:line="0" w:lineRule="atLeast"/>
              <w:rPr>
                <w:sz w:val="24"/>
                <w:szCs w:val="24"/>
                <w:highlight w:val="none"/>
              </w:rPr>
            </w:pPr>
          </w:p>
        </w:tc>
      </w:tr>
      <w:tr w14:paraId="34A7F5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94" w:type="dxa"/>
            <w:vMerge w:val="continue"/>
            <w:noWrap w:val="0"/>
            <w:vAlign w:val="top"/>
          </w:tcPr>
          <w:p w14:paraId="295DA535">
            <w:pPr>
              <w:spacing w:line="0" w:lineRule="atLeast"/>
              <w:rPr>
                <w:sz w:val="24"/>
                <w:szCs w:val="24"/>
                <w:highlight w:val="none"/>
              </w:rPr>
            </w:pPr>
          </w:p>
        </w:tc>
        <w:tc>
          <w:tcPr>
            <w:tcW w:w="1977" w:type="dxa"/>
            <w:vMerge w:val="continue"/>
            <w:noWrap w:val="0"/>
            <w:vAlign w:val="center"/>
          </w:tcPr>
          <w:p w14:paraId="12E64A96">
            <w:pPr>
              <w:spacing w:line="0" w:lineRule="atLeast"/>
              <w:jc w:val="center"/>
              <w:rPr>
                <w:sz w:val="24"/>
                <w:szCs w:val="24"/>
                <w:highlight w:val="none"/>
              </w:rPr>
            </w:pPr>
          </w:p>
        </w:tc>
        <w:tc>
          <w:tcPr>
            <w:tcW w:w="3927" w:type="dxa"/>
            <w:noWrap w:val="0"/>
            <w:vAlign w:val="top"/>
          </w:tcPr>
          <w:p w14:paraId="5B35065D">
            <w:pPr>
              <w:spacing w:line="0" w:lineRule="atLeast"/>
              <w:rPr>
                <w:sz w:val="24"/>
                <w:szCs w:val="24"/>
                <w:highlight w:val="none"/>
              </w:rPr>
            </w:pPr>
            <w:r>
              <w:rPr>
                <w:sz w:val="24"/>
                <w:szCs w:val="24"/>
                <w:highlight w:val="none"/>
              </w:rPr>
              <w:t>C、略低于标准</w:t>
            </w:r>
          </w:p>
        </w:tc>
        <w:tc>
          <w:tcPr>
            <w:tcW w:w="1268" w:type="dxa"/>
            <w:noWrap w:val="0"/>
            <w:vAlign w:val="center"/>
          </w:tcPr>
          <w:p w14:paraId="7D9ED4D0">
            <w:pPr>
              <w:spacing w:line="0" w:lineRule="atLeast"/>
              <w:jc w:val="center"/>
              <w:rPr>
                <w:sz w:val="24"/>
                <w:szCs w:val="24"/>
                <w:highlight w:val="none"/>
              </w:rPr>
            </w:pPr>
            <w:r>
              <w:rPr>
                <w:sz w:val="24"/>
                <w:szCs w:val="24"/>
                <w:highlight w:val="none"/>
              </w:rPr>
              <w:t>10分以下</w:t>
            </w:r>
          </w:p>
        </w:tc>
        <w:tc>
          <w:tcPr>
            <w:tcW w:w="710" w:type="dxa"/>
            <w:vMerge w:val="continue"/>
            <w:noWrap w:val="0"/>
            <w:vAlign w:val="top"/>
          </w:tcPr>
          <w:p w14:paraId="59D163A0">
            <w:pPr>
              <w:spacing w:line="0" w:lineRule="atLeast"/>
              <w:rPr>
                <w:sz w:val="24"/>
                <w:szCs w:val="24"/>
                <w:highlight w:val="none"/>
              </w:rPr>
            </w:pPr>
          </w:p>
        </w:tc>
      </w:tr>
      <w:tr w14:paraId="103B33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94" w:type="dxa"/>
            <w:vMerge w:val="continue"/>
            <w:noWrap w:val="0"/>
            <w:vAlign w:val="top"/>
          </w:tcPr>
          <w:p w14:paraId="3A317388">
            <w:pPr>
              <w:spacing w:line="0" w:lineRule="atLeast"/>
              <w:rPr>
                <w:sz w:val="24"/>
                <w:szCs w:val="24"/>
                <w:highlight w:val="none"/>
              </w:rPr>
            </w:pPr>
          </w:p>
        </w:tc>
        <w:tc>
          <w:tcPr>
            <w:tcW w:w="1977" w:type="dxa"/>
            <w:vMerge w:val="continue"/>
            <w:noWrap w:val="0"/>
            <w:vAlign w:val="center"/>
          </w:tcPr>
          <w:p w14:paraId="57DE31CF">
            <w:pPr>
              <w:spacing w:line="0" w:lineRule="atLeast"/>
              <w:jc w:val="center"/>
              <w:rPr>
                <w:sz w:val="24"/>
                <w:szCs w:val="24"/>
                <w:highlight w:val="none"/>
              </w:rPr>
            </w:pPr>
          </w:p>
        </w:tc>
        <w:tc>
          <w:tcPr>
            <w:tcW w:w="3927" w:type="dxa"/>
            <w:noWrap w:val="0"/>
            <w:vAlign w:val="top"/>
          </w:tcPr>
          <w:p w14:paraId="1FFEC2BC">
            <w:pPr>
              <w:spacing w:line="0" w:lineRule="atLeast"/>
              <w:rPr>
                <w:sz w:val="24"/>
                <w:szCs w:val="24"/>
                <w:highlight w:val="none"/>
              </w:rPr>
            </w:pPr>
            <w:r>
              <w:rPr>
                <w:sz w:val="24"/>
                <w:szCs w:val="24"/>
                <w:highlight w:val="none"/>
              </w:rPr>
              <w:t>D、女生低于166cm、男生低于175cm</w:t>
            </w:r>
          </w:p>
        </w:tc>
        <w:tc>
          <w:tcPr>
            <w:tcW w:w="1268" w:type="dxa"/>
            <w:noWrap w:val="0"/>
            <w:vAlign w:val="center"/>
          </w:tcPr>
          <w:p w14:paraId="00924EAB">
            <w:pPr>
              <w:spacing w:line="0" w:lineRule="atLeast"/>
              <w:jc w:val="center"/>
              <w:rPr>
                <w:sz w:val="24"/>
                <w:szCs w:val="24"/>
                <w:highlight w:val="none"/>
              </w:rPr>
            </w:pPr>
            <w:r>
              <w:rPr>
                <w:sz w:val="24"/>
                <w:szCs w:val="24"/>
                <w:highlight w:val="none"/>
              </w:rPr>
              <w:t>0分</w:t>
            </w:r>
          </w:p>
        </w:tc>
        <w:tc>
          <w:tcPr>
            <w:tcW w:w="710" w:type="dxa"/>
            <w:vMerge w:val="continue"/>
            <w:noWrap w:val="0"/>
            <w:vAlign w:val="top"/>
          </w:tcPr>
          <w:p w14:paraId="14C55B51">
            <w:pPr>
              <w:spacing w:line="0" w:lineRule="atLeast"/>
              <w:rPr>
                <w:sz w:val="24"/>
                <w:szCs w:val="24"/>
                <w:highlight w:val="none"/>
              </w:rPr>
            </w:pPr>
          </w:p>
        </w:tc>
      </w:tr>
      <w:tr w14:paraId="32C50C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94" w:type="dxa"/>
            <w:vMerge w:val="continue"/>
            <w:noWrap w:val="0"/>
            <w:vAlign w:val="top"/>
          </w:tcPr>
          <w:p w14:paraId="53BE698F">
            <w:pPr>
              <w:spacing w:line="0" w:lineRule="atLeast"/>
              <w:rPr>
                <w:sz w:val="24"/>
                <w:szCs w:val="24"/>
                <w:highlight w:val="none"/>
              </w:rPr>
            </w:pPr>
          </w:p>
        </w:tc>
        <w:tc>
          <w:tcPr>
            <w:tcW w:w="1977" w:type="dxa"/>
            <w:vMerge w:val="restart"/>
            <w:noWrap w:val="0"/>
            <w:vAlign w:val="center"/>
          </w:tcPr>
          <w:p w14:paraId="4750D6BC">
            <w:pPr>
              <w:spacing w:line="0" w:lineRule="atLeast"/>
              <w:rPr>
                <w:rFonts w:hint="eastAsia" w:eastAsia="仿宋_GB2312"/>
                <w:sz w:val="24"/>
                <w:szCs w:val="24"/>
                <w:highlight w:val="none"/>
                <w:lang w:eastAsia="zh-CN"/>
              </w:rPr>
            </w:pPr>
            <w:r>
              <w:rPr>
                <w:sz w:val="24"/>
                <w:szCs w:val="24"/>
                <w:highlight w:val="none"/>
              </w:rPr>
              <w:t>体重</w:t>
            </w:r>
            <w:r>
              <w:rPr>
                <w:rFonts w:hint="eastAsia"/>
                <w:sz w:val="24"/>
                <w:szCs w:val="24"/>
                <w:highlight w:val="none"/>
                <w:lang w:eastAsia="zh-CN"/>
              </w:rPr>
              <w:t>：</w:t>
            </w:r>
          </w:p>
          <w:p w14:paraId="035E5ED5">
            <w:pPr>
              <w:spacing w:line="0" w:lineRule="atLeast"/>
              <w:rPr>
                <w:sz w:val="24"/>
                <w:szCs w:val="24"/>
                <w:highlight w:val="none"/>
              </w:rPr>
            </w:pPr>
            <w:r>
              <w:rPr>
                <w:sz w:val="24"/>
                <w:szCs w:val="24"/>
                <w:highlight w:val="none"/>
              </w:rPr>
              <w:t>女生50-60kg、男生70-80kg</w:t>
            </w:r>
          </w:p>
          <w:p w14:paraId="0692E31B">
            <w:pPr>
              <w:spacing w:line="0" w:lineRule="atLeast"/>
              <w:jc w:val="center"/>
              <w:rPr>
                <w:sz w:val="24"/>
                <w:szCs w:val="24"/>
                <w:highlight w:val="none"/>
              </w:rPr>
            </w:pPr>
            <w:r>
              <w:rPr>
                <w:sz w:val="24"/>
                <w:szCs w:val="24"/>
                <w:highlight w:val="none"/>
              </w:rPr>
              <w:t>（20分）</w:t>
            </w:r>
          </w:p>
        </w:tc>
        <w:tc>
          <w:tcPr>
            <w:tcW w:w="3927" w:type="dxa"/>
            <w:noWrap w:val="0"/>
            <w:vAlign w:val="top"/>
          </w:tcPr>
          <w:p w14:paraId="6CB098DE">
            <w:pPr>
              <w:spacing w:line="0" w:lineRule="atLeast"/>
              <w:rPr>
                <w:sz w:val="24"/>
                <w:szCs w:val="24"/>
                <w:highlight w:val="none"/>
              </w:rPr>
            </w:pPr>
            <w:r>
              <w:rPr>
                <w:sz w:val="24"/>
                <w:szCs w:val="24"/>
                <w:highlight w:val="none"/>
              </w:rPr>
              <w:t>A、完全符合标准</w:t>
            </w:r>
          </w:p>
        </w:tc>
        <w:tc>
          <w:tcPr>
            <w:tcW w:w="1268" w:type="dxa"/>
            <w:noWrap w:val="0"/>
            <w:vAlign w:val="center"/>
          </w:tcPr>
          <w:p w14:paraId="7E48FDCD">
            <w:pPr>
              <w:spacing w:line="0" w:lineRule="atLeast"/>
              <w:jc w:val="center"/>
              <w:rPr>
                <w:sz w:val="24"/>
                <w:szCs w:val="24"/>
                <w:highlight w:val="none"/>
              </w:rPr>
            </w:pPr>
            <w:r>
              <w:rPr>
                <w:sz w:val="24"/>
                <w:szCs w:val="24"/>
                <w:highlight w:val="none"/>
              </w:rPr>
              <w:t>16—20分</w:t>
            </w:r>
          </w:p>
        </w:tc>
        <w:tc>
          <w:tcPr>
            <w:tcW w:w="710" w:type="dxa"/>
            <w:vMerge w:val="continue"/>
            <w:noWrap w:val="0"/>
            <w:vAlign w:val="center"/>
          </w:tcPr>
          <w:p w14:paraId="32FDDA15">
            <w:pPr>
              <w:spacing w:line="0" w:lineRule="atLeast"/>
              <w:rPr>
                <w:sz w:val="24"/>
                <w:szCs w:val="24"/>
                <w:highlight w:val="none"/>
              </w:rPr>
            </w:pPr>
          </w:p>
        </w:tc>
      </w:tr>
      <w:tr w14:paraId="2B2A8B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94" w:type="dxa"/>
            <w:vMerge w:val="continue"/>
            <w:noWrap w:val="0"/>
            <w:vAlign w:val="top"/>
          </w:tcPr>
          <w:p w14:paraId="42451C23">
            <w:pPr>
              <w:spacing w:line="0" w:lineRule="atLeast"/>
              <w:rPr>
                <w:sz w:val="24"/>
                <w:szCs w:val="24"/>
                <w:highlight w:val="none"/>
              </w:rPr>
            </w:pPr>
          </w:p>
        </w:tc>
        <w:tc>
          <w:tcPr>
            <w:tcW w:w="1977" w:type="dxa"/>
            <w:vMerge w:val="continue"/>
            <w:noWrap w:val="0"/>
            <w:vAlign w:val="center"/>
          </w:tcPr>
          <w:p w14:paraId="18ECE919">
            <w:pPr>
              <w:spacing w:line="0" w:lineRule="atLeast"/>
              <w:jc w:val="center"/>
              <w:rPr>
                <w:sz w:val="24"/>
                <w:szCs w:val="24"/>
                <w:highlight w:val="none"/>
              </w:rPr>
            </w:pPr>
          </w:p>
        </w:tc>
        <w:tc>
          <w:tcPr>
            <w:tcW w:w="3927" w:type="dxa"/>
            <w:noWrap w:val="0"/>
            <w:vAlign w:val="top"/>
          </w:tcPr>
          <w:p w14:paraId="2159219B">
            <w:pPr>
              <w:spacing w:line="0" w:lineRule="atLeast"/>
              <w:rPr>
                <w:sz w:val="24"/>
                <w:szCs w:val="24"/>
                <w:highlight w:val="none"/>
              </w:rPr>
            </w:pPr>
            <w:r>
              <w:rPr>
                <w:sz w:val="24"/>
                <w:szCs w:val="24"/>
                <w:highlight w:val="none"/>
              </w:rPr>
              <w:t>B、基本符合标准（±1kg内）</w:t>
            </w:r>
          </w:p>
        </w:tc>
        <w:tc>
          <w:tcPr>
            <w:tcW w:w="1268" w:type="dxa"/>
            <w:noWrap w:val="0"/>
            <w:vAlign w:val="center"/>
          </w:tcPr>
          <w:p w14:paraId="5DAED874">
            <w:pPr>
              <w:spacing w:line="0" w:lineRule="atLeast"/>
              <w:jc w:val="center"/>
              <w:rPr>
                <w:sz w:val="24"/>
                <w:szCs w:val="24"/>
                <w:highlight w:val="none"/>
              </w:rPr>
            </w:pPr>
            <w:r>
              <w:rPr>
                <w:sz w:val="24"/>
                <w:szCs w:val="24"/>
                <w:highlight w:val="none"/>
              </w:rPr>
              <w:t>11—15分</w:t>
            </w:r>
          </w:p>
        </w:tc>
        <w:tc>
          <w:tcPr>
            <w:tcW w:w="710" w:type="dxa"/>
            <w:vMerge w:val="continue"/>
            <w:noWrap w:val="0"/>
            <w:vAlign w:val="top"/>
          </w:tcPr>
          <w:p w14:paraId="359CB714">
            <w:pPr>
              <w:spacing w:line="0" w:lineRule="atLeast"/>
              <w:rPr>
                <w:sz w:val="24"/>
                <w:szCs w:val="24"/>
                <w:highlight w:val="none"/>
              </w:rPr>
            </w:pPr>
          </w:p>
        </w:tc>
      </w:tr>
      <w:tr w14:paraId="1308A7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94" w:type="dxa"/>
            <w:vMerge w:val="continue"/>
            <w:noWrap w:val="0"/>
            <w:vAlign w:val="top"/>
          </w:tcPr>
          <w:p w14:paraId="05819A69">
            <w:pPr>
              <w:spacing w:line="0" w:lineRule="atLeast"/>
              <w:rPr>
                <w:sz w:val="24"/>
                <w:szCs w:val="24"/>
                <w:highlight w:val="none"/>
              </w:rPr>
            </w:pPr>
          </w:p>
        </w:tc>
        <w:tc>
          <w:tcPr>
            <w:tcW w:w="1977" w:type="dxa"/>
            <w:vMerge w:val="continue"/>
            <w:noWrap w:val="0"/>
            <w:vAlign w:val="center"/>
          </w:tcPr>
          <w:p w14:paraId="54A9B3F3">
            <w:pPr>
              <w:spacing w:line="0" w:lineRule="atLeast"/>
              <w:jc w:val="center"/>
              <w:rPr>
                <w:sz w:val="24"/>
                <w:szCs w:val="24"/>
                <w:highlight w:val="none"/>
              </w:rPr>
            </w:pPr>
          </w:p>
        </w:tc>
        <w:tc>
          <w:tcPr>
            <w:tcW w:w="3927" w:type="dxa"/>
            <w:noWrap w:val="0"/>
            <w:vAlign w:val="top"/>
          </w:tcPr>
          <w:p w14:paraId="5D78CB03">
            <w:pPr>
              <w:spacing w:line="0" w:lineRule="atLeast"/>
              <w:rPr>
                <w:sz w:val="24"/>
                <w:szCs w:val="24"/>
                <w:highlight w:val="none"/>
              </w:rPr>
            </w:pPr>
            <w:r>
              <w:rPr>
                <w:sz w:val="24"/>
                <w:szCs w:val="24"/>
                <w:highlight w:val="none"/>
              </w:rPr>
              <w:t>C、低或高于标准（±2kg内）</w:t>
            </w:r>
          </w:p>
        </w:tc>
        <w:tc>
          <w:tcPr>
            <w:tcW w:w="1268" w:type="dxa"/>
            <w:noWrap w:val="0"/>
            <w:vAlign w:val="center"/>
          </w:tcPr>
          <w:p w14:paraId="49ED57C4">
            <w:pPr>
              <w:spacing w:line="0" w:lineRule="atLeast"/>
              <w:jc w:val="center"/>
              <w:rPr>
                <w:sz w:val="24"/>
                <w:szCs w:val="24"/>
                <w:highlight w:val="none"/>
              </w:rPr>
            </w:pPr>
            <w:r>
              <w:rPr>
                <w:sz w:val="24"/>
                <w:szCs w:val="24"/>
                <w:highlight w:val="none"/>
              </w:rPr>
              <w:t>10分以下</w:t>
            </w:r>
          </w:p>
        </w:tc>
        <w:tc>
          <w:tcPr>
            <w:tcW w:w="710" w:type="dxa"/>
            <w:vMerge w:val="continue"/>
            <w:noWrap w:val="0"/>
            <w:vAlign w:val="top"/>
          </w:tcPr>
          <w:p w14:paraId="43DBD4E2">
            <w:pPr>
              <w:spacing w:line="0" w:lineRule="atLeast"/>
              <w:rPr>
                <w:sz w:val="24"/>
                <w:szCs w:val="24"/>
                <w:highlight w:val="none"/>
              </w:rPr>
            </w:pPr>
          </w:p>
        </w:tc>
      </w:tr>
      <w:tr w14:paraId="6B21EF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94" w:type="dxa"/>
            <w:vMerge w:val="continue"/>
            <w:noWrap w:val="0"/>
            <w:vAlign w:val="top"/>
          </w:tcPr>
          <w:p w14:paraId="794F1304">
            <w:pPr>
              <w:spacing w:line="0" w:lineRule="atLeast"/>
              <w:rPr>
                <w:sz w:val="24"/>
                <w:szCs w:val="24"/>
                <w:highlight w:val="none"/>
              </w:rPr>
            </w:pPr>
          </w:p>
        </w:tc>
        <w:tc>
          <w:tcPr>
            <w:tcW w:w="1977" w:type="dxa"/>
            <w:vMerge w:val="continue"/>
            <w:noWrap w:val="0"/>
            <w:vAlign w:val="center"/>
          </w:tcPr>
          <w:p w14:paraId="24209173">
            <w:pPr>
              <w:spacing w:line="0" w:lineRule="atLeast"/>
              <w:jc w:val="center"/>
              <w:rPr>
                <w:sz w:val="24"/>
                <w:szCs w:val="24"/>
                <w:highlight w:val="none"/>
              </w:rPr>
            </w:pPr>
          </w:p>
        </w:tc>
        <w:tc>
          <w:tcPr>
            <w:tcW w:w="3927" w:type="dxa"/>
            <w:noWrap w:val="0"/>
            <w:vAlign w:val="top"/>
          </w:tcPr>
          <w:p w14:paraId="5381909E">
            <w:pPr>
              <w:spacing w:line="0" w:lineRule="atLeast"/>
              <w:rPr>
                <w:sz w:val="24"/>
                <w:szCs w:val="24"/>
                <w:highlight w:val="none"/>
              </w:rPr>
            </w:pPr>
            <w:r>
              <w:rPr>
                <w:sz w:val="24"/>
                <w:szCs w:val="24"/>
                <w:highlight w:val="none"/>
              </w:rPr>
              <w:t>D、体重过轻和过重、五官肢体有缺陷</w:t>
            </w:r>
          </w:p>
        </w:tc>
        <w:tc>
          <w:tcPr>
            <w:tcW w:w="1268" w:type="dxa"/>
            <w:noWrap w:val="0"/>
            <w:vAlign w:val="center"/>
          </w:tcPr>
          <w:p w14:paraId="7F63C881">
            <w:pPr>
              <w:spacing w:line="0" w:lineRule="atLeast"/>
              <w:jc w:val="center"/>
              <w:rPr>
                <w:sz w:val="24"/>
                <w:szCs w:val="24"/>
                <w:highlight w:val="none"/>
              </w:rPr>
            </w:pPr>
            <w:r>
              <w:rPr>
                <w:sz w:val="24"/>
                <w:szCs w:val="24"/>
                <w:highlight w:val="none"/>
              </w:rPr>
              <w:t>0分</w:t>
            </w:r>
          </w:p>
        </w:tc>
        <w:tc>
          <w:tcPr>
            <w:tcW w:w="710" w:type="dxa"/>
            <w:vMerge w:val="continue"/>
            <w:noWrap w:val="0"/>
            <w:vAlign w:val="top"/>
          </w:tcPr>
          <w:p w14:paraId="20270693">
            <w:pPr>
              <w:spacing w:line="0" w:lineRule="atLeast"/>
              <w:rPr>
                <w:sz w:val="24"/>
                <w:szCs w:val="24"/>
                <w:highlight w:val="none"/>
              </w:rPr>
            </w:pPr>
          </w:p>
        </w:tc>
      </w:tr>
      <w:tr w14:paraId="47DF13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94" w:type="dxa"/>
            <w:vMerge w:val="continue"/>
            <w:noWrap w:val="0"/>
            <w:vAlign w:val="top"/>
          </w:tcPr>
          <w:p w14:paraId="08345A00">
            <w:pPr>
              <w:spacing w:line="0" w:lineRule="atLeast"/>
              <w:rPr>
                <w:sz w:val="24"/>
                <w:szCs w:val="24"/>
                <w:highlight w:val="none"/>
              </w:rPr>
            </w:pPr>
          </w:p>
        </w:tc>
        <w:tc>
          <w:tcPr>
            <w:tcW w:w="1977" w:type="dxa"/>
            <w:vMerge w:val="restart"/>
            <w:noWrap w:val="0"/>
            <w:vAlign w:val="center"/>
          </w:tcPr>
          <w:p w14:paraId="62F2A826">
            <w:pPr>
              <w:spacing w:line="0" w:lineRule="atLeast"/>
              <w:jc w:val="center"/>
              <w:rPr>
                <w:rFonts w:hint="eastAsia" w:eastAsia="仿宋_GB2312"/>
                <w:sz w:val="24"/>
                <w:szCs w:val="24"/>
                <w:highlight w:val="none"/>
                <w:lang w:eastAsia="zh-CN"/>
              </w:rPr>
            </w:pPr>
            <w:r>
              <w:rPr>
                <w:sz w:val="24"/>
                <w:szCs w:val="24"/>
                <w:highlight w:val="none"/>
              </w:rPr>
              <w:t>三围（胸腰臀）</w:t>
            </w:r>
            <w:r>
              <w:rPr>
                <w:rFonts w:hint="eastAsia"/>
                <w:sz w:val="24"/>
                <w:szCs w:val="24"/>
                <w:highlight w:val="none"/>
                <w:lang w:eastAsia="zh-CN"/>
              </w:rPr>
              <w:t>：</w:t>
            </w:r>
          </w:p>
          <w:p w14:paraId="20A866D0">
            <w:pPr>
              <w:spacing w:line="0" w:lineRule="atLeast"/>
              <w:jc w:val="center"/>
              <w:rPr>
                <w:sz w:val="24"/>
                <w:szCs w:val="24"/>
                <w:highlight w:val="none"/>
              </w:rPr>
            </w:pPr>
            <w:r>
              <w:rPr>
                <w:sz w:val="24"/>
                <w:szCs w:val="24"/>
                <w:highlight w:val="none"/>
              </w:rPr>
              <w:t>女生82-85、60-63、85-88cm（±2）</w:t>
            </w:r>
            <w:r>
              <w:rPr>
                <w:rFonts w:hint="eastAsia"/>
                <w:sz w:val="24"/>
                <w:szCs w:val="24"/>
                <w:highlight w:val="none"/>
              </w:rPr>
              <w:t>，</w:t>
            </w:r>
            <w:r>
              <w:rPr>
                <w:sz w:val="24"/>
                <w:szCs w:val="24"/>
                <w:highlight w:val="none"/>
              </w:rPr>
              <w:t>男生95-98、73-76、92-95cm（±2）</w:t>
            </w:r>
          </w:p>
          <w:p w14:paraId="00E8D0BA">
            <w:pPr>
              <w:spacing w:line="0" w:lineRule="atLeast"/>
              <w:jc w:val="center"/>
              <w:rPr>
                <w:sz w:val="24"/>
                <w:szCs w:val="24"/>
                <w:highlight w:val="none"/>
              </w:rPr>
            </w:pPr>
            <w:r>
              <w:rPr>
                <w:sz w:val="24"/>
                <w:szCs w:val="24"/>
                <w:highlight w:val="none"/>
              </w:rPr>
              <w:t>（20分）</w:t>
            </w:r>
          </w:p>
        </w:tc>
        <w:tc>
          <w:tcPr>
            <w:tcW w:w="3927" w:type="dxa"/>
            <w:noWrap w:val="0"/>
            <w:vAlign w:val="top"/>
          </w:tcPr>
          <w:p w14:paraId="49C3F98F">
            <w:pPr>
              <w:spacing w:line="0" w:lineRule="atLeast"/>
              <w:rPr>
                <w:sz w:val="24"/>
                <w:szCs w:val="24"/>
                <w:highlight w:val="none"/>
              </w:rPr>
            </w:pPr>
            <w:r>
              <w:rPr>
                <w:sz w:val="24"/>
                <w:szCs w:val="24"/>
                <w:highlight w:val="none"/>
              </w:rPr>
              <w:t>A、完全符合标准</w:t>
            </w:r>
          </w:p>
        </w:tc>
        <w:tc>
          <w:tcPr>
            <w:tcW w:w="1268" w:type="dxa"/>
            <w:noWrap w:val="0"/>
            <w:vAlign w:val="center"/>
          </w:tcPr>
          <w:p w14:paraId="1D2B64A6">
            <w:pPr>
              <w:spacing w:line="0" w:lineRule="atLeast"/>
              <w:jc w:val="center"/>
              <w:rPr>
                <w:sz w:val="24"/>
                <w:szCs w:val="24"/>
                <w:highlight w:val="none"/>
              </w:rPr>
            </w:pPr>
            <w:r>
              <w:rPr>
                <w:sz w:val="24"/>
                <w:szCs w:val="24"/>
                <w:highlight w:val="none"/>
              </w:rPr>
              <w:t>16—20分</w:t>
            </w:r>
          </w:p>
        </w:tc>
        <w:tc>
          <w:tcPr>
            <w:tcW w:w="710" w:type="dxa"/>
            <w:vMerge w:val="continue"/>
            <w:noWrap w:val="0"/>
            <w:vAlign w:val="center"/>
          </w:tcPr>
          <w:p w14:paraId="1B1AA484">
            <w:pPr>
              <w:pStyle w:val="7"/>
              <w:spacing w:before="0" w:beforeAutospacing="0" w:after="0" w:afterAutospacing="0" w:line="0" w:lineRule="atLeast"/>
              <w:jc w:val="both"/>
              <w:rPr>
                <w:rFonts w:ascii="Times New Roman" w:hAnsi="Times New Roman" w:cs="Times New Roman"/>
                <w:sz w:val="24"/>
                <w:szCs w:val="24"/>
                <w:highlight w:val="none"/>
              </w:rPr>
            </w:pPr>
          </w:p>
        </w:tc>
      </w:tr>
      <w:tr w14:paraId="2CA9CF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94" w:type="dxa"/>
            <w:vMerge w:val="continue"/>
            <w:noWrap w:val="0"/>
            <w:vAlign w:val="top"/>
          </w:tcPr>
          <w:p w14:paraId="09E8E996">
            <w:pPr>
              <w:spacing w:line="0" w:lineRule="atLeast"/>
              <w:rPr>
                <w:sz w:val="24"/>
                <w:szCs w:val="24"/>
                <w:highlight w:val="none"/>
              </w:rPr>
            </w:pPr>
          </w:p>
        </w:tc>
        <w:tc>
          <w:tcPr>
            <w:tcW w:w="1977" w:type="dxa"/>
            <w:vMerge w:val="continue"/>
            <w:noWrap w:val="0"/>
            <w:vAlign w:val="top"/>
          </w:tcPr>
          <w:p w14:paraId="0552D4A4">
            <w:pPr>
              <w:spacing w:line="0" w:lineRule="atLeast"/>
              <w:rPr>
                <w:sz w:val="24"/>
                <w:szCs w:val="24"/>
                <w:highlight w:val="none"/>
              </w:rPr>
            </w:pPr>
          </w:p>
        </w:tc>
        <w:tc>
          <w:tcPr>
            <w:tcW w:w="3927" w:type="dxa"/>
            <w:noWrap w:val="0"/>
            <w:vAlign w:val="top"/>
          </w:tcPr>
          <w:p w14:paraId="268AE4D9">
            <w:pPr>
              <w:spacing w:line="0" w:lineRule="atLeast"/>
              <w:rPr>
                <w:sz w:val="24"/>
                <w:szCs w:val="24"/>
                <w:highlight w:val="none"/>
              </w:rPr>
            </w:pPr>
            <w:r>
              <w:rPr>
                <w:sz w:val="24"/>
                <w:szCs w:val="24"/>
                <w:highlight w:val="none"/>
              </w:rPr>
              <w:t>B、基本符合标准</w:t>
            </w:r>
          </w:p>
        </w:tc>
        <w:tc>
          <w:tcPr>
            <w:tcW w:w="1268" w:type="dxa"/>
            <w:noWrap w:val="0"/>
            <w:vAlign w:val="center"/>
          </w:tcPr>
          <w:p w14:paraId="7197848C">
            <w:pPr>
              <w:spacing w:line="0" w:lineRule="atLeast"/>
              <w:jc w:val="center"/>
              <w:rPr>
                <w:sz w:val="24"/>
                <w:szCs w:val="24"/>
                <w:highlight w:val="none"/>
              </w:rPr>
            </w:pPr>
            <w:r>
              <w:rPr>
                <w:sz w:val="24"/>
                <w:szCs w:val="24"/>
                <w:highlight w:val="none"/>
              </w:rPr>
              <w:t>11—15分</w:t>
            </w:r>
          </w:p>
        </w:tc>
        <w:tc>
          <w:tcPr>
            <w:tcW w:w="710" w:type="dxa"/>
            <w:vMerge w:val="continue"/>
            <w:noWrap w:val="0"/>
            <w:vAlign w:val="top"/>
          </w:tcPr>
          <w:p w14:paraId="00B3A8BC">
            <w:pPr>
              <w:spacing w:line="0" w:lineRule="atLeast"/>
              <w:rPr>
                <w:sz w:val="24"/>
                <w:szCs w:val="24"/>
                <w:highlight w:val="none"/>
              </w:rPr>
            </w:pPr>
          </w:p>
        </w:tc>
      </w:tr>
      <w:tr w14:paraId="69CD5A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94" w:type="dxa"/>
            <w:vMerge w:val="continue"/>
            <w:noWrap w:val="0"/>
            <w:vAlign w:val="top"/>
          </w:tcPr>
          <w:p w14:paraId="4077ED19">
            <w:pPr>
              <w:spacing w:line="0" w:lineRule="atLeast"/>
              <w:rPr>
                <w:sz w:val="24"/>
                <w:szCs w:val="24"/>
                <w:highlight w:val="none"/>
              </w:rPr>
            </w:pPr>
          </w:p>
        </w:tc>
        <w:tc>
          <w:tcPr>
            <w:tcW w:w="1977" w:type="dxa"/>
            <w:vMerge w:val="continue"/>
            <w:noWrap w:val="0"/>
            <w:vAlign w:val="top"/>
          </w:tcPr>
          <w:p w14:paraId="378689FD">
            <w:pPr>
              <w:spacing w:line="0" w:lineRule="atLeast"/>
              <w:rPr>
                <w:sz w:val="24"/>
                <w:szCs w:val="24"/>
                <w:highlight w:val="none"/>
              </w:rPr>
            </w:pPr>
          </w:p>
        </w:tc>
        <w:tc>
          <w:tcPr>
            <w:tcW w:w="3927" w:type="dxa"/>
            <w:noWrap w:val="0"/>
            <w:vAlign w:val="top"/>
          </w:tcPr>
          <w:p w14:paraId="5ED57BFE">
            <w:pPr>
              <w:spacing w:line="0" w:lineRule="atLeast"/>
              <w:rPr>
                <w:sz w:val="24"/>
                <w:szCs w:val="24"/>
                <w:highlight w:val="none"/>
              </w:rPr>
            </w:pPr>
            <w:r>
              <w:rPr>
                <w:sz w:val="24"/>
                <w:szCs w:val="24"/>
                <w:highlight w:val="none"/>
              </w:rPr>
              <w:t>C、部分符合标准</w:t>
            </w:r>
          </w:p>
        </w:tc>
        <w:tc>
          <w:tcPr>
            <w:tcW w:w="1268" w:type="dxa"/>
            <w:noWrap w:val="0"/>
            <w:vAlign w:val="center"/>
          </w:tcPr>
          <w:p w14:paraId="61CAE160">
            <w:pPr>
              <w:spacing w:line="0" w:lineRule="atLeast"/>
              <w:jc w:val="center"/>
              <w:rPr>
                <w:sz w:val="24"/>
                <w:szCs w:val="24"/>
                <w:highlight w:val="none"/>
              </w:rPr>
            </w:pPr>
            <w:r>
              <w:rPr>
                <w:sz w:val="24"/>
                <w:szCs w:val="24"/>
                <w:highlight w:val="none"/>
              </w:rPr>
              <w:t>10分以下</w:t>
            </w:r>
          </w:p>
        </w:tc>
        <w:tc>
          <w:tcPr>
            <w:tcW w:w="710" w:type="dxa"/>
            <w:vMerge w:val="continue"/>
            <w:noWrap w:val="0"/>
            <w:vAlign w:val="top"/>
          </w:tcPr>
          <w:p w14:paraId="35E8D6A2">
            <w:pPr>
              <w:spacing w:line="0" w:lineRule="atLeast"/>
              <w:rPr>
                <w:sz w:val="24"/>
                <w:szCs w:val="24"/>
                <w:highlight w:val="none"/>
              </w:rPr>
            </w:pPr>
          </w:p>
        </w:tc>
      </w:tr>
      <w:tr w14:paraId="685A80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95" w:hRule="atLeast"/>
        </w:trPr>
        <w:tc>
          <w:tcPr>
            <w:tcW w:w="1194" w:type="dxa"/>
            <w:vMerge w:val="continue"/>
            <w:noWrap w:val="0"/>
            <w:vAlign w:val="top"/>
          </w:tcPr>
          <w:p w14:paraId="3A07A03E">
            <w:pPr>
              <w:spacing w:line="0" w:lineRule="atLeast"/>
              <w:rPr>
                <w:sz w:val="24"/>
                <w:szCs w:val="24"/>
                <w:highlight w:val="none"/>
              </w:rPr>
            </w:pPr>
          </w:p>
        </w:tc>
        <w:tc>
          <w:tcPr>
            <w:tcW w:w="1977" w:type="dxa"/>
            <w:vMerge w:val="continue"/>
            <w:noWrap w:val="0"/>
            <w:vAlign w:val="top"/>
          </w:tcPr>
          <w:p w14:paraId="2D658F1F">
            <w:pPr>
              <w:spacing w:line="0" w:lineRule="atLeast"/>
              <w:rPr>
                <w:sz w:val="24"/>
                <w:szCs w:val="24"/>
                <w:highlight w:val="none"/>
              </w:rPr>
            </w:pPr>
          </w:p>
        </w:tc>
        <w:tc>
          <w:tcPr>
            <w:tcW w:w="3927" w:type="dxa"/>
            <w:noWrap w:val="0"/>
            <w:vAlign w:val="center"/>
          </w:tcPr>
          <w:p w14:paraId="36EDEBB3">
            <w:pPr>
              <w:spacing w:line="0" w:lineRule="atLeast"/>
              <w:rPr>
                <w:sz w:val="24"/>
                <w:szCs w:val="24"/>
                <w:highlight w:val="none"/>
              </w:rPr>
            </w:pPr>
            <w:r>
              <w:rPr>
                <w:sz w:val="24"/>
                <w:szCs w:val="24"/>
                <w:highlight w:val="none"/>
              </w:rPr>
              <w:t>D、不符合标准</w:t>
            </w:r>
          </w:p>
        </w:tc>
        <w:tc>
          <w:tcPr>
            <w:tcW w:w="1268" w:type="dxa"/>
            <w:noWrap w:val="0"/>
            <w:vAlign w:val="center"/>
          </w:tcPr>
          <w:p w14:paraId="150E8468">
            <w:pPr>
              <w:spacing w:line="0" w:lineRule="atLeast"/>
              <w:jc w:val="center"/>
              <w:rPr>
                <w:sz w:val="24"/>
                <w:szCs w:val="24"/>
                <w:highlight w:val="none"/>
              </w:rPr>
            </w:pPr>
            <w:r>
              <w:rPr>
                <w:sz w:val="24"/>
                <w:szCs w:val="24"/>
                <w:highlight w:val="none"/>
              </w:rPr>
              <w:t>0分</w:t>
            </w:r>
          </w:p>
        </w:tc>
        <w:tc>
          <w:tcPr>
            <w:tcW w:w="710" w:type="dxa"/>
            <w:vMerge w:val="continue"/>
            <w:noWrap w:val="0"/>
            <w:vAlign w:val="top"/>
          </w:tcPr>
          <w:p w14:paraId="718D0669">
            <w:pPr>
              <w:spacing w:line="0" w:lineRule="atLeast"/>
              <w:rPr>
                <w:sz w:val="24"/>
                <w:szCs w:val="24"/>
                <w:highlight w:val="none"/>
              </w:rPr>
            </w:pPr>
          </w:p>
        </w:tc>
      </w:tr>
      <w:tr w14:paraId="635102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71" w:type="dxa"/>
            <w:gridSpan w:val="2"/>
            <w:vMerge w:val="restart"/>
            <w:noWrap w:val="0"/>
            <w:vAlign w:val="center"/>
          </w:tcPr>
          <w:p w14:paraId="3BF54E86">
            <w:pPr>
              <w:spacing w:line="0" w:lineRule="atLeast"/>
              <w:jc w:val="center"/>
              <w:rPr>
                <w:sz w:val="24"/>
                <w:szCs w:val="24"/>
                <w:highlight w:val="none"/>
              </w:rPr>
            </w:pPr>
            <w:r>
              <w:rPr>
                <w:sz w:val="24"/>
                <w:szCs w:val="24"/>
                <w:highlight w:val="none"/>
              </w:rPr>
              <w:t>才艺展示</w:t>
            </w:r>
          </w:p>
          <w:p w14:paraId="1A04C4B8">
            <w:pPr>
              <w:spacing w:line="0" w:lineRule="atLeast"/>
              <w:jc w:val="center"/>
              <w:rPr>
                <w:sz w:val="24"/>
                <w:szCs w:val="24"/>
                <w:highlight w:val="none"/>
              </w:rPr>
            </w:pPr>
            <w:r>
              <w:rPr>
                <w:sz w:val="24"/>
                <w:szCs w:val="24"/>
                <w:highlight w:val="none"/>
              </w:rPr>
              <w:t>（30分）</w:t>
            </w:r>
          </w:p>
        </w:tc>
        <w:tc>
          <w:tcPr>
            <w:tcW w:w="3927" w:type="dxa"/>
            <w:noWrap w:val="0"/>
            <w:vAlign w:val="top"/>
          </w:tcPr>
          <w:p w14:paraId="09806501">
            <w:pPr>
              <w:spacing w:line="0" w:lineRule="atLeast"/>
              <w:rPr>
                <w:sz w:val="24"/>
                <w:szCs w:val="24"/>
                <w:highlight w:val="none"/>
              </w:rPr>
            </w:pPr>
            <w:r>
              <w:rPr>
                <w:sz w:val="24"/>
                <w:szCs w:val="24"/>
                <w:highlight w:val="none"/>
              </w:rPr>
              <w:t>A、作品艺术表现力较强，节奏准确，难度较大</w:t>
            </w:r>
          </w:p>
        </w:tc>
        <w:tc>
          <w:tcPr>
            <w:tcW w:w="1268" w:type="dxa"/>
            <w:noWrap w:val="0"/>
            <w:vAlign w:val="center"/>
          </w:tcPr>
          <w:p w14:paraId="1D80357E">
            <w:pPr>
              <w:spacing w:line="0" w:lineRule="atLeast"/>
              <w:jc w:val="center"/>
              <w:rPr>
                <w:sz w:val="24"/>
                <w:szCs w:val="24"/>
                <w:highlight w:val="none"/>
              </w:rPr>
            </w:pPr>
            <w:r>
              <w:rPr>
                <w:sz w:val="24"/>
                <w:szCs w:val="24"/>
                <w:highlight w:val="none"/>
              </w:rPr>
              <w:t>23—30分</w:t>
            </w:r>
          </w:p>
        </w:tc>
        <w:tc>
          <w:tcPr>
            <w:tcW w:w="710" w:type="dxa"/>
            <w:vMerge w:val="restart"/>
            <w:noWrap w:val="0"/>
            <w:vAlign w:val="top"/>
          </w:tcPr>
          <w:p w14:paraId="0CD9DED4">
            <w:pPr>
              <w:spacing w:line="0" w:lineRule="atLeast"/>
              <w:rPr>
                <w:sz w:val="24"/>
                <w:szCs w:val="24"/>
                <w:highlight w:val="none"/>
              </w:rPr>
            </w:pPr>
          </w:p>
        </w:tc>
      </w:tr>
      <w:tr w14:paraId="35C7F7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71" w:type="dxa"/>
            <w:gridSpan w:val="2"/>
            <w:vMerge w:val="continue"/>
            <w:noWrap w:val="0"/>
            <w:vAlign w:val="center"/>
          </w:tcPr>
          <w:p w14:paraId="2ED3D707">
            <w:pPr>
              <w:spacing w:line="0" w:lineRule="atLeast"/>
              <w:jc w:val="center"/>
              <w:rPr>
                <w:sz w:val="24"/>
                <w:szCs w:val="24"/>
                <w:highlight w:val="none"/>
              </w:rPr>
            </w:pPr>
          </w:p>
        </w:tc>
        <w:tc>
          <w:tcPr>
            <w:tcW w:w="3927" w:type="dxa"/>
            <w:noWrap w:val="0"/>
            <w:vAlign w:val="top"/>
          </w:tcPr>
          <w:p w14:paraId="0C84A3DE">
            <w:pPr>
              <w:spacing w:line="0" w:lineRule="atLeast"/>
              <w:rPr>
                <w:sz w:val="24"/>
                <w:szCs w:val="24"/>
                <w:highlight w:val="none"/>
              </w:rPr>
            </w:pPr>
            <w:r>
              <w:rPr>
                <w:sz w:val="24"/>
                <w:szCs w:val="24"/>
                <w:highlight w:val="none"/>
              </w:rPr>
              <w:t>B、作品具有一定艺术表现力，节奏较好，难度适中</w:t>
            </w:r>
          </w:p>
        </w:tc>
        <w:tc>
          <w:tcPr>
            <w:tcW w:w="1268" w:type="dxa"/>
            <w:noWrap w:val="0"/>
            <w:vAlign w:val="center"/>
          </w:tcPr>
          <w:p w14:paraId="25C4A115">
            <w:pPr>
              <w:spacing w:line="0" w:lineRule="atLeast"/>
              <w:jc w:val="center"/>
              <w:rPr>
                <w:sz w:val="24"/>
                <w:szCs w:val="24"/>
                <w:highlight w:val="none"/>
              </w:rPr>
            </w:pPr>
            <w:r>
              <w:rPr>
                <w:sz w:val="24"/>
                <w:szCs w:val="24"/>
                <w:highlight w:val="none"/>
              </w:rPr>
              <w:t>15—22分</w:t>
            </w:r>
          </w:p>
        </w:tc>
        <w:tc>
          <w:tcPr>
            <w:tcW w:w="710" w:type="dxa"/>
            <w:vMerge w:val="continue"/>
            <w:noWrap w:val="0"/>
            <w:vAlign w:val="top"/>
          </w:tcPr>
          <w:p w14:paraId="294DAC35">
            <w:pPr>
              <w:spacing w:line="0" w:lineRule="atLeast"/>
              <w:rPr>
                <w:sz w:val="24"/>
                <w:szCs w:val="24"/>
                <w:highlight w:val="none"/>
              </w:rPr>
            </w:pPr>
          </w:p>
        </w:tc>
      </w:tr>
      <w:tr w14:paraId="0778B4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71" w:type="dxa"/>
            <w:gridSpan w:val="2"/>
            <w:vMerge w:val="continue"/>
            <w:noWrap w:val="0"/>
            <w:vAlign w:val="center"/>
          </w:tcPr>
          <w:p w14:paraId="02ACA040">
            <w:pPr>
              <w:spacing w:line="0" w:lineRule="atLeast"/>
              <w:jc w:val="center"/>
              <w:rPr>
                <w:sz w:val="24"/>
                <w:szCs w:val="24"/>
                <w:highlight w:val="none"/>
              </w:rPr>
            </w:pPr>
          </w:p>
        </w:tc>
        <w:tc>
          <w:tcPr>
            <w:tcW w:w="3927" w:type="dxa"/>
            <w:noWrap w:val="0"/>
            <w:vAlign w:val="top"/>
          </w:tcPr>
          <w:p w14:paraId="64EC0ECE">
            <w:pPr>
              <w:spacing w:line="0" w:lineRule="atLeast"/>
              <w:rPr>
                <w:sz w:val="24"/>
                <w:szCs w:val="24"/>
                <w:highlight w:val="none"/>
              </w:rPr>
            </w:pPr>
            <w:r>
              <w:rPr>
                <w:sz w:val="24"/>
                <w:szCs w:val="24"/>
                <w:highlight w:val="none"/>
              </w:rPr>
              <w:t>C、作品艺术表现力一般，节奏稍差，难度较小</w:t>
            </w:r>
          </w:p>
        </w:tc>
        <w:tc>
          <w:tcPr>
            <w:tcW w:w="1268" w:type="dxa"/>
            <w:noWrap w:val="0"/>
            <w:vAlign w:val="center"/>
          </w:tcPr>
          <w:p w14:paraId="3A1EF2B5">
            <w:pPr>
              <w:spacing w:line="0" w:lineRule="atLeast"/>
              <w:jc w:val="center"/>
              <w:rPr>
                <w:sz w:val="24"/>
                <w:szCs w:val="24"/>
                <w:highlight w:val="none"/>
              </w:rPr>
            </w:pPr>
            <w:r>
              <w:rPr>
                <w:sz w:val="24"/>
                <w:szCs w:val="24"/>
                <w:highlight w:val="none"/>
              </w:rPr>
              <w:t>8—14分</w:t>
            </w:r>
          </w:p>
        </w:tc>
        <w:tc>
          <w:tcPr>
            <w:tcW w:w="710" w:type="dxa"/>
            <w:vMerge w:val="continue"/>
            <w:noWrap w:val="0"/>
            <w:vAlign w:val="top"/>
          </w:tcPr>
          <w:p w14:paraId="022744FB">
            <w:pPr>
              <w:spacing w:line="0" w:lineRule="atLeast"/>
              <w:rPr>
                <w:sz w:val="24"/>
                <w:szCs w:val="24"/>
                <w:highlight w:val="none"/>
              </w:rPr>
            </w:pPr>
          </w:p>
        </w:tc>
      </w:tr>
      <w:tr w14:paraId="76F375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71" w:type="dxa"/>
            <w:gridSpan w:val="2"/>
            <w:vMerge w:val="continue"/>
            <w:noWrap w:val="0"/>
            <w:vAlign w:val="center"/>
          </w:tcPr>
          <w:p w14:paraId="4013A494">
            <w:pPr>
              <w:spacing w:line="0" w:lineRule="atLeast"/>
              <w:jc w:val="center"/>
              <w:rPr>
                <w:sz w:val="24"/>
                <w:szCs w:val="24"/>
                <w:highlight w:val="none"/>
              </w:rPr>
            </w:pPr>
          </w:p>
        </w:tc>
        <w:tc>
          <w:tcPr>
            <w:tcW w:w="3927" w:type="dxa"/>
            <w:noWrap w:val="0"/>
            <w:vAlign w:val="top"/>
          </w:tcPr>
          <w:p w14:paraId="1588D886">
            <w:pPr>
              <w:spacing w:line="0" w:lineRule="atLeast"/>
              <w:rPr>
                <w:sz w:val="24"/>
                <w:szCs w:val="24"/>
                <w:highlight w:val="none"/>
              </w:rPr>
            </w:pPr>
            <w:r>
              <w:rPr>
                <w:sz w:val="24"/>
                <w:szCs w:val="24"/>
                <w:highlight w:val="none"/>
              </w:rPr>
              <w:t>D、作品艺术表现力差，节奏不准，无难度</w:t>
            </w:r>
          </w:p>
        </w:tc>
        <w:tc>
          <w:tcPr>
            <w:tcW w:w="1268" w:type="dxa"/>
            <w:noWrap w:val="0"/>
            <w:vAlign w:val="center"/>
          </w:tcPr>
          <w:p w14:paraId="0265DDFB">
            <w:pPr>
              <w:spacing w:line="0" w:lineRule="atLeast"/>
              <w:jc w:val="center"/>
              <w:rPr>
                <w:sz w:val="24"/>
                <w:szCs w:val="24"/>
                <w:highlight w:val="none"/>
              </w:rPr>
            </w:pPr>
            <w:r>
              <w:rPr>
                <w:sz w:val="24"/>
                <w:szCs w:val="24"/>
                <w:highlight w:val="none"/>
              </w:rPr>
              <w:t>7分以下</w:t>
            </w:r>
          </w:p>
        </w:tc>
        <w:tc>
          <w:tcPr>
            <w:tcW w:w="710" w:type="dxa"/>
            <w:vMerge w:val="continue"/>
            <w:noWrap w:val="0"/>
            <w:vAlign w:val="top"/>
          </w:tcPr>
          <w:p w14:paraId="211144EC">
            <w:pPr>
              <w:spacing w:line="0" w:lineRule="atLeast"/>
              <w:rPr>
                <w:sz w:val="24"/>
                <w:szCs w:val="24"/>
                <w:highlight w:val="none"/>
              </w:rPr>
            </w:pPr>
          </w:p>
        </w:tc>
      </w:tr>
    </w:tbl>
    <w:p w14:paraId="6E1F6847">
      <w:pPr>
        <w:rPr>
          <w:rFonts w:hint="eastAsia"/>
          <w:highlight w:val="none"/>
        </w:rPr>
      </w:pPr>
    </w:p>
    <w:sectPr>
      <w:pgSz w:w="11906" w:h="16838"/>
      <w:pgMar w:top="2098" w:right="1474" w:bottom="1985" w:left="1588" w:header="851" w:footer="992" w:gutter="0"/>
      <w:cols w:space="720" w:num="1"/>
      <w:docGrid w:type="linesAndChars" w:linePitch="571" w:charSpace="-2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CEA8CBE6-091D-4071-8E4B-8E336114A23D}"/>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embedRegular r:id="rId2" w:fontKey="{194EE1A1-221A-4B8E-9D4C-76E734D02C88}"/>
  </w:font>
  <w:font w:name="仿宋">
    <w:panose1 w:val="02010609060101010101"/>
    <w:charset w:val="86"/>
    <w:family w:val="auto"/>
    <w:pitch w:val="default"/>
    <w:sig w:usb0="800002BF" w:usb1="38CF7CFA" w:usb2="00000016" w:usb3="00000000" w:csb0="00040001" w:csb1="00000000"/>
    <w:embedRegular r:id="rId3" w:fontKey="{AC9FD36C-1480-4D6A-B857-5A2B70045963}"/>
  </w:font>
  <w:font w:name="方正小标宋简体">
    <w:panose1 w:val="03000509000000000000"/>
    <w:charset w:val="86"/>
    <w:family w:val="auto"/>
    <w:pitch w:val="default"/>
    <w:sig w:usb0="00000001" w:usb1="080E0000" w:usb2="00000000" w:usb3="00000000" w:csb0="00040000" w:csb1="00000000"/>
    <w:embedRegular r:id="rId4" w:fontKey="{8AB7D6C1-6894-4EFD-AA1D-E42F0F855912}"/>
  </w:font>
  <w:font w:name="微软雅黑">
    <w:panose1 w:val="020B0503020204020204"/>
    <w:charset w:val="86"/>
    <w:family w:val="auto"/>
    <w:pitch w:val="default"/>
    <w:sig w:usb0="80000287" w:usb1="280F3C52" w:usb2="00000016" w:usb3="00000000" w:csb0="0004001F" w:csb1="00000000"/>
    <w:embedRegular r:id="rId5" w:fontKey="{EFBE6B85-9BAE-447C-9174-9CF1F7AC01DB}"/>
  </w:font>
  <w:font w:name="楷体_GB2312">
    <w:panose1 w:val="02010609030101010101"/>
    <w:charset w:val="86"/>
    <w:family w:val="auto"/>
    <w:pitch w:val="default"/>
    <w:sig w:usb0="00000001" w:usb1="080E0000" w:usb2="00000000" w:usb3="00000000" w:csb0="00040000" w:csb1="00000000"/>
    <w:embedRegular r:id="rId6" w:fontKey="{921A8039-90C5-40BF-984B-89E4008D43FE}"/>
  </w:font>
  <w:font w:name="楷体">
    <w:panose1 w:val="02010609060101010101"/>
    <w:charset w:val="86"/>
    <w:family w:val="modern"/>
    <w:pitch w:val="default"/>
    <w:sig w:usb0="800002BF" w:usb1="38CF7CFA" w:usb2="00000016" w:usb3="00000000" w:csb0="00040001" w:csb1="00000000"/>
    <w:embedRegular r:id="rId7" w:fontKey="{5FB3F4B4-86CA-41AE-BFBD-7C04F78FF21F}"/>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TrueTypeFonts/>
  <w:saveSubsetFonts/>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oNotHyphenateCaps/>
  <w:drawingGridHorizontalSpacing w:val="160"/>
  <w:drawingGridVerticalSpacing w:val="571"/>
  <w:displayHorizontalDrawingGridEvery w:val="1"/>
  <w:displayVerticalDrawingGridEvery w:val="1"/>
  <w:noPunctuationKerning w:val="1"/>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g2ODc3MzVmY2MyY2ZmYWE0NGM5MWRlY2VmYTliNzIifQ=="/>
  </w:docVars>
  <w:rsids>
    <w:rsidRoot w:val="3E335818"/>
    <w:rsid w:val="0002117A"/>
    <w:rsid w:val="00096CC9"/>
    <w:rsid w:val="000E5DA2"/>
    <w:rsid w:val="00155F14"/>
    <w:rsid w:val="002477B9"/>
    <w:rsid w:val="00454AA5"/>
    <w:rsid w:val="004C4F5E"/>
    <w:rsid w:val="005870B2"/>
    <w:rsid w:val="005B23C3"/>
    <w:rsid w:val="00635D83"/>
    <w:rsid w:val="00650486"/>
    <w:rsid w:val="00652740"/>
    <w:rsid w:val="0066145F"/>
    <w:rsid w:val="00680780"/>
    <w:rsid w:val="00696D73"/>
    <w:rsid w:val="006B3846"/>
    <w:rsid w:val="006F69B9"/>
    <w:rsid w:val="00734FF5"/>
    <w:rsid w:val="00744155"/>
    <w:rsid w:val="00984DA7"/>
    <w:rsid w:val="00997C29"/>
    <w:rsid w:val="009F4333"/>
    <w:rsid w:val="00A06743"/>
    <w:rsid w:val="00B16244"/>
    <w:rsid w:val="00B812FF"/>
    <w:rsid w:val="00B9386B"/>
    <w:rsid w:val="00BE67EB"/>
    <w:rsid w:val="00BF048B"/>
    <w:rsid w:val="00BF3A58"/>
    <w:rsid w:val="00CE162D"/>
    <w:rsid w:val="00D450AD"/>
    <w:rsid w:val="00DC1D9D"/>
    <w:rsid w:val="00DC427D"/>
    <w:rsid w:val="00E6388A"/>
    <w:rsid w:val="00EA72EF"/>
    <w:rsid w:val="00EC5810"/>
    <w:rsid w:val="00EC6362"/>
    <w:rsid w:val="00F22754"/>
    <w:rsid w:val="00F559A6"/>
    <w:rsid w:val="00F57880"/>
    <w:rsid w:val="00F95D77"/>
    <w:rsid w:val="012B0331"/>
    <w:rsid w:val="014038BF"/>
    <w:rsid w:val="01E865EC"/>
    <w:rsid w:val="026B4812"/>
    <w:rsid w:val="02CD1491"/>
    <w:rsid w:val="03A94BBD"/>
    <w:rsid w:val="04DC3C21"/>
    <w:rsid w:val="06044DD1"/>
    <w:rsid w:val="074C3E5D"/>
    <w:rsid w:val="074C7227"/>
    <w:rsid w:val="089C2BEA"/>
    <w:rsid w:val="089C2DBD"/>
    <w:rsid w:val="08EF2A42"/>
    <w:rsid w:val="094B5A45"/>
    <w:rsid w:val="09927BC6"/>
    <w:rsid w:val="09934A41"/>
    <w:rsid w:val="0A8C0A91"/>
    <w:rsid w:val="0B9012D2"/>
    <w:rsid w:val="0C5B1D5E"/>
    <w:rsid w:val="0C694CA7"/>
    <w:rsid w:val="0D040924"/>
    <w:rsid w:val="0D3E301C"/>
    <w:rsid w:val="0D676AC1"/>
    <w:rsid w:val="0D791CFB"/>
    <w:rsid w:val="0DA24CCB"/>
    <w:rsid w:val="0E2F72D8"/>
    <w:rsid w:val="0E6379D8"/>
    <w:rsid w:val="0F01163F"/>
    <w:rsid w:val="0F1D71E3"/>
    <w:rsid w:val="0FED1D99"/>
    <w:rsid w:val="102631CD"/>
    <w:rsid w:val="106B0729"/>
    <w:rsid w:val="10E75C45"/>
    <w:rsid w:val="11DB3E47"/>
    <w:rsid w:val="126F73AB"/>
    <w:rsid w:val="12C33A69"/>
    <w:rsid w:val="12EC3576"/>
    <w:rsid w:val="12F22522"/>
    <w:rsid w:val="131E5E3C"/>
    <w:rsid w:val="141B0914"/>
    <w:rsid w:val="14997E29"/>
    <w:rsid w:val="14F07F12"/>
    <w:rsid w:val="1651091B"/>
    <w:rsid w:val="165635F5"/>
    <w:rsid w:val="185E2E43"/>
    <w:rsid w:val="18D51894"/>
    <w:rsid w:val="195F14A6"/>
    <w:rsid w:val="1B9F0B3A"/>
    <w:rsid w:val="1BB3179C"/>
    <w:rsid w:val="1BBE1DE0"/>
    <w:rsid w:val="1BE51C24"/>
    <w:rsid w:val="1C010609"/>
    <w:rsid w:val="1C421921"/>
    <w:rsid w:val="1C5D6097"/>
    <w:rsid w:val="1CEB6DC6"/>
    <w:rsid w:val="1E267F2B"/>
    <w:rsid w:val="1E595EC8"/>
    <w:rsid w:val="1E930E47"/>
    <w:rsid w:val="1FC5689D"/>
    <w:rsid w:val="1FF5742E"/>
    <w:rsid w:val="20924D47"/>
    <w:rsid w:val="21827137"/>
    <w:rsid w:val="21C772BA"/>
    <w:rsid w:val="23F22B88"/>
    <w:rsid w:val="25ED0053"/>
    <w:rsid w:val="26033917"/>
    <w:rsid w:val="26B71141"/>
    <w:rsid w:val="26C53C3E"/>
    <w:rsid w:val="26D32F95"/>
    <w:rsid w:val="27666275"/>
    <w:rsid w:val="27A23911"/>
    <w:rsid w:val="27E774E4"/>
    <w:rsid w:val="284159D2"/>
    <w:rsid w:val="285104D9"/>
    <w:rsid w:val="289D32AF"/>
    <w:rsid w:val="289E3886"/>
    <w:rsid w:val="28C54294"/>
    <w:rsid w:val="296E310F"/>
    <w:rsid w:val="2A973C48"/>
    <w:rsid w:val="2AB82AFE"/>
    <w:rsid w:val="2ABC5A31"/>
    <w:rsid w:val="2BC679C1"/>
    <w:rsid w:val="2E0E0F03"/>
    <w:rsid w:val="2E25204A"/>
    <w:rsid w:val="2EFA152F"/>
    <w:rsid w:val="2F9A59D3"/>
    <w:rsid w:val="2FB3328B"/>
    <w:rsid w:val="2FFA3EF7"/>
    <w:rsid w:val="308A1186"/>
    <w:rsid w:val="30D95610"/>
    <w:rsid w:val="30E57960"/>
    <w:rsid w:val="31A3127F"/>
    <w:rsid w:val="328E1EE3"/>
    <w:rsid w:val="333862FD"/>
    <w:rsid w:val="335E0F84"/>
    <w:rsid w:val="33997124"/>
    <w:rsid w:val="33D20878"/>
    <w:rsid w:val="3452108B"/>
    <w:rsid w:val="35111B2A"/>
    <w:rsid w:val="352E08AA"/>
    <w:rsid w:val="356B6818"/>
    <w:rsid w:val="358D43EB"/>
    <w:rsid w:val="36674619"/>
    <w:rsid w:val="36775D08"/>
    <w:rsid w:val="36960BD4"/>
    <w:rsid w:val="37134DEE"/>
    <w:rsid w:val="372FB377"/>
    <w:rsid w:val="37391F2B"/>
    <w:rsid w:val="376E7D21"/>
    <w:rsid w:val="37A55226"/>
    <w:rsid w:val="37BE1D81"/>
    <w:rsid w:val="389926E7"/>
    <w:rsid w:val="38F93F56"/>
    <w:rsid w:val="39031C39"/>
    <w:rsid w:val="397B216B"/>
    <w:rsid w:val="3A1302EC"/>
    <w:rsid w:val="3ABB721F"/>
    <w:rsid w:val="3AD977F2"/>
    <w:rsid w:val="3AF01FEB"/>
    <w:rsid w:val="3C675619"/>
    <w:rsid w:val="3CFB2BFE"/>
    <w:rsid w:val="3D1C6BC1"/>
    <w:rsid w:val="3DEB17A5"/>
    <w:rsid w:val="3E335818"/>
    <w:rsid w:val="3E8409D1"/>
    <w:rsid w:val="3EDA416B"/>
    <w:rsid w:val="3EF26DA1"/>
    <w:rsid w:val="3F5A5033"/>
    <w:rsid w:val="3FF7A734"/>
    <w:rsid w:val="406860A8"/>
    <w:rsid w:val="408329C6"/>
    <w:rsid w:val="40ED59D0"/>
    <w:rsid w:val="418036D2"/>
    <w:rsid w:val="424E557F"/>
    <w:rsid w:val="426B6CA6"/>
    <w:rsid w:val="427B0AC3"/>
    <w:rsid w:val="42952A65"/>
    <w:rsid w:val="44262D6C"/>
    <w:rsid w:val="44C91DD9"/>
    <w:rsid w:val="45460C89"/>
    <w:rsid w:val="45C67C26"/>
    <w:rsid w:val="460A6CB8"/>
    <w:rsid w:val="460E60C9"/>
    <w:rsid w:val="461E5F6C"/>
    <w:rsid w:val="46845A12"/>
    <w:rsid w:val="471F398D"/>
    <w:rsid w:val="47C0508F"/>
    <w:rsid w:val="48427111"/>
    <w:rsid w:val="487E46E3"/>
    <w:rsid w:val="49400666"/>
    <w:rsid w:val="4A15167C"/>
    <w:rsid w:val="4AA36C9E"/>
    <w:rsid w:val="4B1E7983"/>
    <w:rsid w:val="4B9D15B4"/>
    <w:rsid w:val="4C5440D8"/>
    <w:rsid w:val="4CDD2D23"/>
    <w:rsid w:val="4D657448"/>
    <w:rsid w:val="4DBA6A5F"/>
    <w:rsid w:val="4DDC7841"/>
    <w:rsid w:val="4F320D9A"/>
    <w:rsid w:val="4FD44543"/>
    <w:rsid w:val="50574801"/>
    <w:rsid w:val="50857097"/>
    <w:rsid w:val="508869C9"/>
    <w:rsid w:val="51027C63"/>
    <w:rsid w:val="5172090B"/>
    <w:rsid w:val="51F73D0F"/>
    <w:rsid w:val="523B5E52"/>
    <w:rsid w:val="524854AC"/>
    <w:rsid w:val="533D5F8C"/>
    <w:rsid w:val="53781CB2"/>
    <w:rsid w:val="53A36BB2"/>
    <w:rsid w:val="53F84BB6"/>
    <w:rsid w:val="540E60E3"/>
    <w:rsid w:val="546B161C"/>
    <w:rsid w:val="54747038"/>
    <w:rsid w:val="558C5163"/>
    <w:rsid w:val="55FA3400"/>
    <w:rsid w:val="56440B41"/>
    <w:rsid w:val="56917E83"/>
    <w:rsid w:val="56E01A7B"/>
    <w:rsid w:val="57575364"/>
    <w:rsid w:val="575A5187"/>
    <w:rsid w:val="58896E5A"/>
    <w:rsid w:val="59515159"/>
    <w:rsid w:val="59E80424"/>
    <w:rsid w:val="5A2C0AD2"/>
    <w:rsid w:val="5A5C0A0C"/>
    <w:rsid w:val="5B284C84"/>
    <w:rsid w:val="5CAA48FB"/>
    <w:rsid w:val="5CAA5DC7"/>
    <w:rsid w:val="5CCA5533"/>
    <w:rsid w:val="5CFFEB06"/>
    <w:rsid w:val="5D3715D8"/>
    <w:rsid w:val="5DC277E4"/>
    <w:rsid w:val="5E201FA2"/>
    <w:rsid w:val="5E4E66EE"/>
    <w:rsid w:val="5E5F05AB"/>
    <w:rsid w:val="5EC83868"/>
    <w:rsid w:val="5F0E5186"/>
    <w:rsid w:val="5F35216B"/>
    <w:rsid w:val="5FDB984B"/>
    <w:rsid w:val="61ED2173"/>
    <w:rsid w:val="629862DB"/>
    <w:rsid w:val="63534EDF"/>
    <w:rsid w:val="63C66FA4"/>
    <w:rsid w:val="63DD7F03"/>
    <w:rsid w:val="646B6DE0"/>
    <w:rsid w:val="64E23635"/>
    <w:rsid w:val="655B05A3"/>
    <w:rsid w:val="656C24CF"/>
    <w:rsid w:val="656C578A"/>
    <w:rsid w:val="67AB6CE7"/>
    <w:rsid w:val="67D72270"/>
    <w:rsid w:val="67FB0C9C"/>
    <w:rsid w:val="68342C68"/>
    <w:rsid w:val="68BB5320"/>
    <w:rsid w:val="68F62753"/>
    <w:rsid w:val="69B004E9"/>
    <w:rsid w:val="6A1D4A51"/>
    <w:rsid w:val="6A7A3559"/>
    <w:rsid w:val="6B7C30ED"/>
    <w:rsid w:val="6C1D5E3D"/>
    <w:rsid w:val="6C6E09FC"/>
    <w:rsid w:val="6CD928A8"/>
    <w:rsid w:val="6EBF49C0"/>
    <w:rsid w:val="6FC46D27"/>
    <w:rsid w:val="704D28B3"/>
    <w:rsid w:val="70D50A94"/>
    <w:rsid w:val="70DA6AD2"/>
    <w:rsid w:val="70E7076F"/>
    <w:rsid w:val="719C1F94"/>
    <w:rsid w:val="71C6613E"/>
    <w:rsid w:val="71E82130"/>
    <w:rsid w:val="72077F0E"/>
    <w:rsid w:val="7271049A"/>
    <w:rsid w:val="72C31BA3"/>
    <w:rsid w:val="73D56FFD"/>
    <w:rsid w:val="73F4509E"/>
    <w:rsid w:val="740D4A6F"/>
    <w:rsid w:val="741B03CB"/>
    <w:rsid w:val="74740A38"/>
    <w:rsid w:val="76EE58B6"/>
    <w:rsid w:val="789511A0"/>
    <w:rsid w:val="79F641E2"/>
    <w:rsid w:val="7AD038EE"/>
    <w:rsid w:val="7BB549B2"/>
    <w:rsid w:val="7BB700DA"/>
    <w:rsid w:val="7BBE61C7"/>
    <w:rsid w:val="7C1E4F36"/>
    <w:rsid w:val="7C5057D4"/>
    <w:rsid w:val="7C6D54EF"/>
    <w:rsid w:val="7CF10BC4"/>
    <w:rsid w:val="7DFFC72D"/>
    <w:rsid w:val="7E296CC2"/>
    <w:rsid w:val="7EA07315"/>
    <w:rsid w:val="7ED066A1"/>
    <w:rsid w:val="7FCF9BBA"/>
    <w:rsid w:val="7FF7E63E"/>
    <w:rsid w:val="DDEE0F2B"/>
    <w:rsid w:val="DFF75873"/>
    <w:rsid w:val="EFED935D"/>
    <w:rsid w:val="EFFDC3A9"/>
    <w:rsid w:val="FFE7950F"/>
    <w:rsid w:val="FFF39FF9"/>
  </w:rsids>
  <m:mathPr>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EmbedSmartTag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semiHidden="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ocked="1"/>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ocked="1"/>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ocked="1"/>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ocked="1"/>
    <w:lsdException w:qFormat="1" w:unhideWhenUsed="0" w:uiPriority="0" w:semiHidden="0" w:name="Emphasis" w:locked="1"/>
    <w:lsdException w:unhideWhenUsed="0" w:uiPriority="0" w:semiHidden="0" w:name="Document Map"/>
    <w:lsdException w:qFormat="1" w:uiPriority="99"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ocked="1"/>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宋体" w:hAnsi="宋体" w:eastAsia="仿宋_GB2312" w:cstheme="minorBidi"/>
      <w:kern w:val="2"/>
      <w:sz w:val="32"/>
      <w:szCs w:val="32"/>
      <w:lang w:val="en-US" w:eastAsia="zh-CN" w:bidi="ar-SA"/>
    </w:rPr>
  </w:style>
  <w:style w:type="paragraph" w:styleId="2">
    <w:name w:val="heading 2"/>
    <w:basedOn w:val="1"/>
    <w:next w:val="1"/>
    <w:unhideWhenUsed/>
    <w:qFormat/>
    <w:locked/>
    <w:uiPriority w:val="0"/>
    <w:pPr>
      <w:keepNext/>
      <w:keepLines/>
      <w:spacing w:before="260" w:beforeLines="0" w:beforeAutospacing="0" w:after="260" w:afterLines="0" w:afterAutospacing="0" w:line="413" w:lineRule="auto"/>
      <w:outlineLvl w:val="1"/>
    </w:pPr>
    <w:rPr>
      <w:rFonts w:ascii="Arial" w:hAnsi="Arial" w:eastAsia="黑体"/>
      <w:b/>
      <w:sz w:val="32"/>
    </w:rPr>
  </w:style>
  <w:style w:type="character" w:default="1" w:styleId="11">
    <w:name w:val="Default Paragraph Font"/>
    <w:semiHidden/>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3">
    <w:name w:val="Body Text"/>
    <w:basedOn w:val="1"/>
    <w:semiHidden/>
    <w:qFormat/>
    <w:uiPriority w:val="0"/>
    <w:rPr>
      <w:rFonts w:ascii="仿宋" w:hAnsi="仿宋" w:eastAsia="仿宋" w:cs="仿宋"/>
      <w:sz w:val="31"/>
      <w:szCs w:val="31"/>
      <w:lang w:val="en-US" w:eastAsia="en-US" w:bidi="ar-SA"/>
    </w:rPr>
  </w:style>
  <w:style w:type="paragraph" w:styleId="4">
    <w:name w:val="Plain Text"/>
    <w:basedOn w:val="1"/>
    <w:unhideWhenUsed/>
    <w:qFormat/>
    <w:uiPriority w:val="99"/>
    <w:rPr>
      <w:rFonts w:ascii="宋体" w:hAnsi="Courier New" w:cs="Courier New"/>
    </w:rPr>
  </w:style>
  <w:style w:type="paragraph" w:styleId="5">
    <w:name w:val="footer"/>
    <w:basedOn w:val="1"/>
    <w:link w:val="13"/>
    <w:qFormat/>
    <w:uiPriority w:val="0"/>
    <w:pPr>
      <w:tabs>
        <w:tab w:val="center" w:pos="4153"/>
        <w:tab w:val="right" w:pos="8306"/>
      </w:tabs>
      <w:snapToGrid w:val="0"/>
      <w:jc w:val="left"/>
    </w:pPr>
    <w:rPr>
      <w:sz w:val="18"/>
      <w:szCs w:val="18"/>
    </w:rPr>
  </w:style>
  <w:style w:type="paragraph" w:styleId="6">
    <w:name w:val="header"/>
    <w:basedOn w:val="1"/>
    <w:link w:val="14"/>
    <w:qFormat/>
    <w:uiPriority w:val="0"/>
    <w:pPr>
      <w:pBdr>
        <w:bottom w:val="single" w:color="auto" w:sz="6" w:space="1"/>
      </w:pBdr>
      <w:tabs>
        <w:tab w:val="center" w:pos="4153"/>
        <w:tab w:val="right" w:pos="8306"/>
      </w:tabs>
      <w:snapToGrid w:val="0"/>
      <w:jc w:val="center"/>
    </w:pPr>
    <w:rPr>
      <w:sz w:val="18"/>
      <w:szCs w:val="18"/>
    </w:rPr>
  </w:style>
  <w:style w:type="paragraph" w:styleId="7">
    <w:name w:val="Normal (Web)"/>
    <w:basedOn w:val="1"/>
    <w:qFormat/>
    <w:uiPriority w:val="0"/>
    <w:pPr>
      <w:widowControl/>
      <w:spacing w:before="100" w:beforeAutospacing="1" w:after="100" w:afterAutospacing="1"/>
      <w:jc w:val="left"/>
    </w:pPr>
    <w:rPr>
      <w:rFonts w:ascii="宋体" w:hAnsi="宋体" w:cs="宋体"/>
      <w:kern w:val="0"/>
      <w:sz w:val="24"/>
      <w:szCs w:val="24"/>
    </w:rPr>
  </w:style>
  <w:style w:type="paragraph" w:styleId="8">
    <w:name w:val="Body Text First Indent 2"/>
    <w:basedOn w:val="1"/>
    <w:next w:val="1"/>
    <w:unhideWhenUsed/>
    <w:qFormat/>
    <w:uiPriority w:val="99"/>
    <w:pPr>
      <w:spacing w:line="560" w:lineRule="exact"/>
      <w:ind w:left="0" w:leftChars="0" w:firstLine="632" w:firstLineChars="200"/>
      <w:jc w:val="both"/>
    </w:pPr>
    <w:rPr>
      <w:rFonts w:ascii="宋体" w:hAnsi="宋体" w:cs="Calibri"/>
      <w:sz w:val="32"/>
    </w:rPr>
  </w:style>
  <w:style w:type="table" w:styleId="10">
    <w:name w:val="Table Grid"/>
    <w:basedOn w:val="9"/>
    <w:qFormat/>
    <w:locked/>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2">
    <w:name w:val="Hyperlink"/>
    <w:basedOn w:val="11"/>
    <w:qFormat/>
    <w:uiPriority w:val="0"/>
    <w:rPr>
      <w:color w:val="0000FF"/>
      <w:u w:val="single"/>
    </w:rPr>
  </w:style>
  <w:style w:type="character" w:customStyle="1" w:styleId="13">
    <w:name w:val="页脚 字符"/>
    <w:link w:val="5"/>
    <w:qFormat/>
    <w:uiPriority w:val="0"/>
    <w:rPr>
      <w:rFonts w:ascii="宋体" w:hAnsi="宋体" w:eastAsia="仿宋_GB2312"/>
      <w:kern w:val="2"/>
      <w:sz w:val="18"/>
      <w:szCs w:val="18"/>
    </w:rPr>
  </w:style>
  <w:style w:type="character" w:customStyle="1" w:styleId="14">
    <w:name w:val="页眉 字符"/>
    <w:link w:val="6"/>
    <w:qFormat/>
    <w:uiPriority w:val="0"/>
    <w:rPr>
      <w:rFonts w:ascii="宋体" w:hAnsi="宋体" w:eastAsia="仿宋_GB2312"/>
      <w:kern w:val="2"/>
      <w:sz w:val="18"/>
      <w:szCs w:val="18"/>
    </w:rPr>
  </w:style>
  <w:style w:type="character" w:customStyle="1" w:styleId="15">
    <w:name w:val="10"/>
    <w:basedOn w:val="11"/>
    <w:qFormat/>
    <w:uiPriority w:val="0"/>
    <w:rPr>
      <w:rFonts w:hint="default" w:ascii="Times New Roman" w:hAnsi="Times New Roman" w:cs="Times New Roman"/>
    </w:rPr>
  </w:style>
  <w:style w:type="character" w:customStyle="1" w:styleId="16">
    <w:name w:val="15"/>
    <w:basedOn w:val="11"/>
    <w:qFormat/>
    <w:uiPriority w:val="0"/>
    <w:rPr>
      <w:rFonts w:hint="default" w:ascii="Times New Roman" w:hAnsi="Times New Roman" w:cs="Times New Roman"/>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image" Target="media/image1.wmf"/><Relationship Id="rId4" Type="http://schemas.openxmlformats.org/officeDocument/2006/relationships/oleObject" Target="embeddings/oleObject1.bin"/><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Company>Microsoft</Company>
  <Pages>9</Pages>
  <Words>3157</Words>
  <Characters>3453</Characters>
  <Lines>1</Lines>
  <Paragraphs>1</Paragraphs>
  <TotalTime>0</TotalTime>
  <ScaleCrop>false</ScaleCrop>
  <LinksUpToDate>false</LinksUpToDate>
  <CharactersWithSpaces>3471</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2019-03-08T16:47:00Z</dcterms:created>
  <dc:creator>user</dc:creator>
  <cp:lastModifiedBy>Administrator</cp:lastModifiedBy>
  <cp:lastPrinted>2024-03-10T00:23:00Z</cp:lastPrinted>
  <dcterms:modified xsi:type="dcterms:W3CDTF">2025-03-10T06:50:20Z</dcterms:modified>
  <dc:title>山东省威海艺术学校</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B82A9AA9AB4B4DC090A0ECDBF2CAA031_13</vt:lpwstr>
  </property>
  <property fmtid="{D5CDD505-2E9C-101B-9397-08002B2CF9AE}" pid="4" name="KSOTemplateDocerSaveRecord">
    <vt:lpwstr>eyJoZGlkIjoiYTU3NmQ4ODgwZmVjMDBkMTE4NmQ2ZTRlMjFjOTRkMzcifQ==</vt:lpwstr>
  </property>
</Properties>
</file>