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A92C57">
      <w:pPr>
        <w:spacing w:line="303" w:lineRule="auto"/>
        <w:rPr>
          <w:rFonts w:hint="eastAsia" w:eastAsiaTheme="minorEastAsia"/>
          <w:lang w:eastAsia="zh-CN"/>
        </w:rPr>
      </w:pPr>
    </w:p>
    <w:p w14:paraId="23CEB703">
      <w:pPr>
        <w:adjustRightInd/>
        <w:snapToGrid/>
        <w:spacing w:line="578" w:lineRule="exact"/>
        <w:ind w:firstLine="338" w:firstLineChars="100"/>
        <w:outlineLvl w:val="0"/>
        <w:rPr>
          <w:rFonts w:ascii="方正小标宋简体" w:hAnsi="方正小标宋简体" w:eastAsia="方正小标宋简体" w:cs="方正小标宋简体"/>
          <w:spacing w:val="-11"/>
          <w:sz w:val="36"/>
          <w:szCs w:val="36"/>
          <w:lang w:eastAsia="zh-CN"/>
        </w:rPr>
      </w:pPr>
      <w:r>
        <w:rPr>
          <w:rFonts w:hint="eastAsia" w:ascii="方正小标宋简体" w:hAnsi="方正小标宋简体" w:eastAsia="方正小标宋简体" w:cs="方正小标宋简体"/>
          <w:spacing w:val="-11"/>
          <w:sz w:val="36"/>
          <w:szCs w:val="36"/>
          <w:lang w:eastAsia="zh-CN"/>
        </w:rPr>
        <w:t>威海市实验高级中学202</w:t>
      </w:r>
      <w:r>
        <w:rPr>
          <w:rFonts w:ascii="方正小标宋简体" w:hAnsi="方正小标宋简体" w:eastAsia="方正小标宋简体" w:cs="方正小标宋简体"/>
          <w:spacing w:val="-11"/>
          <w:sz w:val="36"/>
          <w:szCs w:val="36"/>
          <w:lang w:eastAsia="zh-CN"/>
        </w:rPr>
        <w:t>5</w:t>
      </w:r>
      <w:r>
        <w:rPr>
          <w:rFonts w:hint="eastAsia" w:ascii="方正小标宋简体" w:hAnsi="方正小标宋简体" w:eastAsia="方正小标宋简体" w:cs="方正小标宋简体"/>
          <w:spacing w:val="-11"/>
          <w:sz w:val="36"/>
          <w:szCs w:val="36"/>
          <w:lang w:eastAsia="zh-CN"/>
        </w:rPr>
        <w:t>年艺术体育特长生招生简章</w:t>
      </w:r>
    </w:p>
    <w:p w14:paraId="6C83DDFA">
      <w:pPr>
        <w:pStyle w:val="2"/>
        <w:adjustRightInd/>
        <w:snapToGrid/>
        <w:spacing w:line="578" w:lineRule="exact"/>
        <w:ind w:firstLine="656" w:firstLineChars="200"/>
        <w:rPr>
          <w:rFonts w:ascii="仿宋_GB2312" w:hAnsi="仿宋_GB2312" w:eastAsia="仿宋_GB2312" w:cs="仿宋_GB2312"/>
          <w:spacing w:val="4"/>
          <w:sz w:val="32"/>
          <w:szCs w:val="32"/>
          <w:lang w:eastAsia="zh-CN"/>
        </w:rPr>
      </w:pPr>
    </w:p>
    <w:p w14:paraId="0500E135">
      <w:pPr>
        <w:spacing w:line="578" w:lineRule="exact"/>
        <w:ind w:firstLine="656" w:firstLineChars="200"/>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pacing w:val="4"/>
          <w:sz w:val="32"/>
          <w:szCs w:val="32"/>
          <w:lang w:eastAsia="zh-CN"/>
        </w:rPr>
        <w:t>为全面推进素质教育，满足学生个性发展需求</w:t>
      </w:r>
      <w:r>
        <w:rPr>
          <w:rFonts w:hint="eastAsia" w:ascii="仿宋_GB2312" w:hAnsi="仿宋_GB2312" w:eastAsia="仿宋_GB2312" w:cs="仿宋_GB2312"/>
          <w:snapToGrid/>
          <w:color w:val="auto"/>
          <w:kern w:val="2"/>
          <w:sz w:val="32"/>
          <w:szCs w:val="32"/>
          <w:lang w:eastAsia="zh-CN"/>
        </w:rPr>
        <w:t>，根据</w:t>
      </w:r>
      <w:r>
        <w:rPr>
          <w:rFonts w:hint="eastAsia" w:ascii="仿宋_GB2312" w:hAnsi="仿宋_GB2312" w:eastAsia="仿宋_GB2312" w:cs="仿宋_GB2312"/>
          <w:color w:val="auto"/>
          <w:sz w:val="32"/>
          <w:szCs w:val="32"/>
          <w:lang w:eastAsia="zh-CN"/>
        </w:rPr>
        <w:t>“威海市教育局《关于优化调整中心城区中考艺术体育特长生招考政策的通知》”、“威海市教育局《关于2025年威海中心城区普通高中招生录取工作意见》</w:t>
      </w:r>
      <w:bookmarkStart w:id="1" w:name="_GoBack"/>
      <w:bookmarkEnd w:id="1"/>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snapToGrid/>
          <w:color w:val="auto"/>
          <w:kern w:val="2"/>
          <w:sz w:val="32"/>
          <w:szCs w:val="32"/>
          <w:highlight w:val="none"/>
          <w:lang w:eastAsia="zh-CN"/>
        </w:rPr>
        <w:t>，</w:t>
      </w:r>
      <w:r>
        <w:rPr>
          <w:rFonts w:hint="eastAsia" w:ascii="仿宋_GB2312" w:hAnsi="仿宋_GB2312" w:eastAsia="仿宋_GB2312" w:cs="仿宋_GB2312"/>
          <w:color w:val="auto"/>
          <w:spacing w:val="4"/>
          <w:sz w:val="32"/>
          <w:szCs w:val="32"/>
          <w:highlight w:val="none"/>
          <w:lang w:eastAsia="zh-CN"/>
        </w:rPr>
        <w:t>结合我校办学特色，特制定《威海市实</w:t>
      </w:r>
      <w:r>
        <w:rPr>
          <w:rFonts w:hint="eastAsia" w:ascii="仿宋_GB2312" w:hAnsi="仿宋_GB2312" w:eastAsia="仿宋_GB2312" w:cs="仿宋_GB2312"/>
          <w:color w:val="auto"/>
          <w:spacing w:val="4"/>
          <w:sz w:val="32"/>
          <w:szCs w:val="32"/>
          <w:lang w:eastAsia="zh-CN"/>
        </w:rPr>
        <w:t>验高级中学202</w:t>
      </w:r>
      <w:r>
        <w:rPr>
          <w:rFonts w:ascii="仿宋_GB2312" w:hAnsi="仿宋_GB2312" w:eastAsia="仿宋_GB2312" w:cs="仿宋_GB2312"/>
          <w:color w:val="auto"/>
          <w:spacing w:val="4"/>
          <w:sz w:val="32"/>
          <w:szCs w:val="32"/>
          <w:lang w:eastAsia="zh-CN"/>
        </w:rPr>
        <w:t>5</w:t>
      </w:r>
      <w:r>
        <w:rPr>
          <w:rFonts w:hint="eastAsia" w:ascii="仿宋_GB2312" w:hAnsi="仿宋_GB2312" w:eastAsia="仿宋_GB2312" w:cs="仿宋_GB2312"/>
          <w:color w:val="auto"/>
          <w:spacing w:val="4"/>
          <w:sz w:val="32"/>
          <w:szCs w:val="32"/>
          <w:lang w:eastAsia="zh-CN"/>
        </w:rPr>
        <w:t>年艺术体育特长生招生简章》，具体如下：</w:t>
      </w:r>
    </w:p>
    <w:p w14:paraId="48BC6E6D">
      <w:pPr>
        <w:adjustRightInd/>
        <w:snapToGrid/>
        <w:spacing w:line="578" w:lineRule="exact"/>
        <w:ind w:firstLine="668" w:firstLineChars="200"/>
        <w:rPr>
          <w:rFonts w:ascii="黑体" w:hAnsi="黑体" w:eastAsia="黑体" w:cs="黑体"/>
          <w:color w:val="auto"/>
          <w:spacing w:val="7"/>
          <w:sz w:val="32"/>
          <w:szCs w:val="32"/>
          <w:lang w:eastAsia="zh-CN"/>
        </w:rPr>
      </w:pPr>
      <w:r>
        <w:rPr>
          <w:rFonts w:ascii="黑体" w:hAnsi="黑体" w:eastAsia="黑体" w:cs="黑体"/>
          <w:color w:val="auto"/>
          <w:spacing w:val="7"/>
          <w:sz w:val="32"/>
          <w:szCs w:val="32"/>
          <w:lang w:eastAsia="zh-CN"/>
        </w:rPr>
        <w:t>一、招生计划</w:t>
      </w:r>
    </w:p>
    <w:p w14:paraId="7BBF903C">
      <w:pPr>
        <w:pStyle w:val="2"/>
        <w:adjustRightInd/>
        <w:snapToGrid/>
        <w:spacing w:line="578" w:lineRule="exact"/>
        <w:ind w:firstLine="680" w:firstLineChars="200"/>
        <w:rPr>
          <w:rFonts w:ascii="仿宋_GB2312" w:hAnsi="仿宋_GB2312" w:eastAsia="仿宋_GB2312" w:cs="仿宋_GB2312"/>
          <w:color w:val="auto"/>
          <w:spacing w:val="10"/>
          <w:sz w:val="32"/>
          <w:szCs w:val="32"/>
          <w:lang w:eastAsia="zh-CN"/>
        </w:rPr>
      </w:pPr>
      <w:r>
        <w:rPr>
          <w:rFonts w:hint="eastAsia" w:ascii="仿宋_GB2312" w:hAnsi="仿宋_GB2312" w:eastAsia="仿宋_GB2312" w:cs="仿宋_GB2312"/>
          <w:color w:val="auto"/>
          <w:spacing w:val="10"/>
          <w:sz w:val="32"/>
          <w:szCs w:val="32"/>
          <w:lang w:eastAsia="zh-CN"/>
        </w:rPr>
        <w:t>（一）美术类特长生10人。</w:t>
      </w:r>
    </w:p>
    <w:p w14:paraId="2041D6E2">
      <w:pPr>
        <w:pStyle w:val="2"/>
        <w:adjustRightInd/>
        <w:snapToGrid/>
        <w:spacing w:line="578" w:lineRule="exact"/>
        <w:ind w:firstLine="680" w:firstLineChars="200"/>
        <w:rPr>
          <w:rFonts w:ascii="仿宋_GB2312" w:hAnsi="仿宋_GB2312" w:eastAsia="仿宋_GB2312" w:cs="仿宋_GB2312"/>
          <w:snapToGrid/>
          <w:color w:val="auto"/>
          <w:kern w:val="2"/>
          <w:sz w:val="32"/>
          <w:szCs w:val="32"/>
          <w:lang w:eastAsia="zh-CN"/>
        </w:rPr>
      </w:pPr>
      <w:r>
        <w:rPr>
          <w:rFonts w:hint="eastAsia" w:ascii="仿宋_GB2312" w:hAnsi="仿宋_GB2312" w:eastAsia="仿宋_GB2312" w:cs="仿宋_GB2312"/>
          <w:color w:val="auto"/>
          <w:spacing w:val="10"/>
          <w:sz w:val="32"/>
          <w:szCs w:val="32"/>
          <w:lang w:eastAsia="zh-CN"/>
        </w:rPr>
        <w:t>（二）体育类特长生6人。</w:t>
      </w:r>
      <w:r>
        <w:rPr>
          <w:rFonts w:hint="eastAsia" w:ascii="仿宋_GB2312" w:hAnsi="仿宋_GB2312" w:eastAsia="仿宋_GB2312" w:cs="仿宋_GB2312"/>
          <w:snapToGrid/>
          <w:color w:val="auto"/>
          <w:kern w:val="2"/>
          <w:sz w:val="32"/>
          <w:szCs w:val="32"/>
          <w:lang w:eastAsia="zh-CN"/>
        </w:rPr>
        <w:t>其中，网球</w:t>
      </w:r>
      <w:r>
        <w:rPr>
          <w:rFonts w:ascii="仿宋_GB2312" w:hAnsi="仿宋_GB2312" w:eastAsia="仿宋_GB2312" w:cs="仿宋_GB2312"/>
          <w:snapToGrid/>
          <w:color w:val="auto"/>
          <w:kern w:val="2"/>
          <w:sz w:val="32"/>
          <w:szCs w:val="32"/>
          <w:lang w:eastAsia="zh-CN"/>
        </w:rPr>
        <w:t>3</w:t>
      </w:r>
      <w:r>
        <w:rPr>
          <w:rFonts w:hint="eastAsia" w:ascii="仿宋_GB2312" w:hAnsi="仿宋_GB2312" w:eastAsia="仿宋_GB2312" w:cs="仿宋_GB2312"/>
          <w:snapToGrid/>
          <w:color w:val="auto"/>
          <w:kern w:val="2"/>
          <w:sz w:val="32"/>
          <w:szCs w:val="32"/>
          <w:lang w:eastAsia="zh-CN"/>
        </w:rPr>
        <w:t>人，男女不限；羽毛球</w:t>
      </w:r>
      <w:r>
        <w:rPr>
          <w:rFonts w:ascii="仿宋_GB2312" w:hAnsi="仿宋_GB2312" w:eastAsia="仿宋_GB2312" w:cs="仿宋_GB2312"/>
          <w:snapToGrid/>
          <w:color w:val="auto"/>
          <w:kern w:val="2"/>
          <w:sz w:val="32"/>
          <w:szCs w:val="32"/>
          <w:lang w:eastAsia="zh-CN"/>
        </w:rPr>
        <w:t>3</w:t>
      </w:r>
      <w:r>
        <w:rPr>
          <w:rFonts w:hint="eastAsia" w:ascii="仿宋_GB2312" w:hAnsi="仿宋_GB2312" w:eastAsia="仿宋_GB2312" w:cs="仿宋_GB2312"/>
          <w:snapToGrid/>
          <w:color w:val="auto"/>
          <w:kern w:val="2"/>
          <w:sz w:val="32"/>
          <w:szCs w:val="32"/>
          <w:lang w:eastAsia="zh-CN"/>
        </w:rPr>
        <w:t>人，男生2人，女生1人。</w:t>
      </w:r>
    </w:p>
    <w:p w14:paraId="78FE54B2">
      <w:pPr>
        <w:widowControl w:val="0"/>
        <w:kinsoku/>
        <w:autoSpaceDE/>
        <w:autoSpaceDN/>
        <w:adjustRightInd/>
        <w:snapToGrid/>
        <w:spacing w:line="578" w:lineRule="exact"/>
        <w:ind w:firstLine="641"/>
        <w:jc w:val="both"/>
        <w:textAlignment w:val="auto"/>
        <w:rPr>
          <w:rFonts w:ascii="仿宋_GB2312" w:hAnsi="仿宋_GB2312" w:eastAsia="仿宋_GB2312" w:cs="仿宋_GB2312"/>
          <w:snapToGrid/>
          <w:color w:val="auto"/>
          <w:kern w:val="2"/>
          <w:sz w:val="32"/>
          <w:szCs w:val="32"/>
          <w:lang w:eastAsia="zh-CN"/>
        </w:rPr>
      </w:pPr>
      <w:r>
        <w:rPr>
          <w:rFonts w:hint="eastAsia" w:ascii="仿宋_GB2312" w:hAnsi="仿宋_GB2312" w:eastAsia="仿宋_GB2312" w:cs="仿宋_GB2312"/>
          <w:snapToGrid/>
          <w:color w:val="auto"/>
          <w:kern w:val="2"/>
          <w:sz w:val="32"/>
          <w:szCs w:val="32"/>
          <w:lang w:eastAsia="zh-CN"/>
        </w:rPr>
        <w:t>（三）音乐类特长生：</w:t>
      </w:r>
      <w:r>
        <w:rPr>
          <w:rFonts w:ascii="仿宋_GB2312" w:hAnsi="仿宋_GB2312" w:eastAsia="仿宋_GB2312" w:cs="仿宋_GB2312"/>
          <w:snapToGrid/>
          <w:color w:val="auto"/>
          <w:kern w:val="2"/>
          <w:sz w:val="32"/>
          <w:szCs w:val="32"/>
          <w:lang w:eastAsia="zh-CN"/>
        </w:rPr>
        <w:t>35</w:t>
      </w:r>
      <w:r>
        <w:rPr>
          <w:rFonts w:hint="eastAsia" w:ascii="仿宋_GB2312" w:hAnsi="仿宋_GB2312" w:eastAsia="仿宋_GB2312" w:cs="仿宋_GB2312"/>
          <w:snapToGrid/>
          <w:color w:val="auto"/>
          <w:kern w:val="2"/>
          <w:sz w:val="32"/>
          <w:szCs w:val="32"/>
          <w:lang w:eastAsia="zh-CN"/>
        </w:rPr>
        <w:t>人。</w:t>
      </w:r>
    </w:p>
    <w:p w14:paraId="6321747E">
      <w:pPr>
        <w:widowControl w:val="0"/>
        <w:kinsoku/>
        <w:autoSpaceDE/>
        <w:autoSpaceDN/>
        <w:adjustRightInd/>
        <w:snapToGrid/>
        <w:spacing w:line="578" w:lineRule="exact"/>
        <w:ind w:firstLine="803" w:firstLineChars="250"/>
        <w:jc w:val="both"/>
        <w:textAlignment w:val="auto"/>
        <w:rPr>
          <w:rFonts w:ascii="仿宋_GB2312" w:hAnsi="仿宋_GB2312" w:eastAsia="仿宋_GB2312" w:cs="仿宋_GB2312"/>
          <w:snapToGrid/>
          <w:color w:val="auto"/>
          <w:spacing w:val="-15"/>
          <w:kern w:val="2"/>
          <w:sz w:val="32"/>
          <w:szCs w:val="32"/>
          <w:lang w:eastAsia="zh-CN"/>
        </w:rPr>
      </w:pPr>
      <w:r>
        <w:rPr>
          <w:rFonts w:hint="eastAsia" w:ascii="仿宋_GB2312" w:hAnsi="仿宋_GB2312" w:eastAsia="仿宋_GB2312" w:cs="仿宋_GB2312"/>
          <w:b/>
          <w:bCs/>
          <w:snapToGrid/>
          <w:color w:val="auto"/>
          <w:kern w:val="2"/>
          <w:sz w:val="32"/>
          <w:szCs w:val="32"/>
          <w:lang w:eastAsia="zh-CN"/>
        </w:rPr>
        <w:t>1</w:t>
      </w:r>
      <w:r>
        <w:rPr>
          <w:rFonts w:ascii="仿宋_GB2312" w:hAnsi="仿宋_GB2312" w:eastAsia="仿宋_GB2312" w:cs="仿宋_GB2312"/>
          <w:b/>
          <w:bCs/>
          <w:snapToGrid/>
          <w:color w:val="auto"/>
          <w:kern w:val="2"/>
          <w:sz w:val="32"/>
          <w:szCs w:val="32"/>
          <w:lang w:eastAsia="zh-CN"/>
        </w:rPr>
        <w:t>.</w:t>
      </w:r>
      <w:r>
        <w:rPr>
          <w:rFonts w:hint="eastAsia" w:ascii="仿宋_GB2312" w:hAnsi="仿宋_GB2312" w:eastAsia="仿宋_GB2312" w:cs="仿宋_GB2312"/>
          <w:b/>
          <w:bCs/>
          <w:snapToGrid/>
          <w:color w:val="auto"/>
          <w:spacing w:val="-15"/>
          <w:kern w:val="2"/>
          <w:sz w:val="32"/>
          <w:szCs w:val="32"/>
          <w:lang w:eastAsia="zh-CN"/>
        </w:rPr>
        <w:t>高水平管弦乐团</w:t>
      </w:r>
      <w:r>
        <w:rPr>
          <w:rFonts w:ascii="仿宋_GB2312" w:hAnsi="仿宋_GB2312" w:eastAsia="仿宋_GB2312" w:cs="仿宋_GB2312"/>
          <w:b/>
          <w:bCs/>
          <w:snapToGrid/>
          <w:color w:val="auto"/>
          <w:spacing w:val="-15"/>
          <w:kern w:val="2"/>
          <w:sz w:val="32"/>
          <w:szCs w:val="32"/>
          <w:lang w:eastAsia="zh-CN"/>
        </w:rPr>
        <w:t>27</w:t>
      </w:r>
      <w:r>
        <w:rPr>
          <w:rFonts w:hint="eastAsia" w:ascii="仿宋_GB2312" w:hAnsi="仿宋_GB2312" w:eastAsia="仿宋_GB2312" w:cs="仿宋_GB2312"/>
          <w:b/>
          <w:bCs/>
          <w:snapToGrid/>
          <w:color w:val="auto"/>
          <w:spacing w:val="-15"/>
          <w:kern w:val="2"/>
          <w:sz w:val="32"/>
          <w:szCs w:val="32"/>
          <w:lang w:eastAsia="zh-CN"/>
        </w:rPr>
        <w:t>人。</w:t>
      </w:r>
      <w:r>
        <w:rPr>
          <w:rFonts w:hint="eastAsia" w:ascii="仿宋_GB2312" w:hAnsi="仿宋_GB2312" w:eastAsia="仿宋_GB2312" w:cs="仿宋_GB2312"/>
          <w:snapToGrid/>
          <w:color w:val="auto"/>
          <w:spacing w:val="-15"/>
          <w:kern w:val="2"/>
          <w:sz w:val="32"/>
          <w:szCs w:val="32"/>
          <w:lang w:eastAsia="zh-CN"/>
        </w:rPr>
        <w:t>各小项招生计划数如下：</w:t>
      </w:r>
    </w:p>
    <w:tbl>
      <w:tblPr>
        <w:tblStyle w:val="14"/>
        <w:tblW w:w="8861" w:type="dxa"/>
        <w:tblInd w:w="219"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2341"/>
        <w:gridCol w:w="1951"/>
        <w:gridCol w:w="4569"/>
      </w:tblGrid>
      <w:tr w14:paraId="5C641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70" w:hRule="atLeast"/>
        </w:trPr>
        <w:tc>
          <w:tcPr>
            <w:tcW w:w="2341" w:type="dxa"/>
            <w:shd w:val="clear" w:color="auto" w:fill="FFFFFF"/>
          </w:tcPr>
          <w:p w14:paraId="2C01E2A2">
            <w:pPr>
              <w:widowControl w:val="0"/>
              <w:kinsoku/>
              <w:autoSpaceDE/>
              <w:autoSpaceDN/>
              <w:adjustRightInd/>
              <w:snapToGrid/>
              <w:spacing w:before="196" w:line="183" w:lineRule="auto"/>
              <w:jc w:val="center"/>
              <w:textAlignment w:val="auto"/>
              <w:rPr>
                <w:rFonts w:ascii="仿宋" w:hAnsi="仿宋" w:eastAsia="仿宋" w:cs="仿宋"/>
                <w:snapToGrid/>
                <w:color w:val="auto"/>
                <w:kern w:val="2"/>
                <w:sz w:val="32"/>
                <w:szCs w:val="32"/>
                <w:lang w:eastAsia="zh-CN"/>
              </w:rPr>
            </w:pPr>
            <w:r>
              <w:rPr>
                <w:rFonts w:ascii="仿宋" w:hAnsi="仿宋" w:eastAsia="仿宋" w:cs="仿宋"/>
                <w:snapToGrid/>
                <w:color w:val="auto"/>
                <w:spacing w:val="-5"/>
                <w:kern w:val="2"/>
                <w:sz w:val="32"/>
                <w:szCs w:val="32"/>
                <w:lang w:eastAsia="zh-CN"/>
              </w:rPr>
              <w:t>招收小项</w:t>
            </w:r>
          </w:p>
        </w:tc>
        <w:tc>
          <w:tcPr>
            <w:tcW w:w="1951" w:type="dxa"/>
            <w:shd w:val="clear" w:color="auto" w:fill="FFFFFF"/>
          </w:tcPr>
          <w:p w14:paraId="21259508">
            <w:pPr>
              <w:widowControl w:val="0"/>
              <w:kinsoku/>
              <w:autoSpaceDE/>
              <w:autoSpaceDN/>
              <w:adjustRightInd/>
              <w:snapToGrid/>
              <w:spacing w:before="196" w:line="183" w:lineRule="auto"/>
              <w:ind w:firstLine="306" w:firstLineChars="100"/>
              <w:jc w:val="both"/>
              <w:textAlignment w:val="auto"/>
              <w:rPr>
                <w:rFonts w:ascii="仿宋" w:hAnsi="仿宋" w:eastAsia="仿宋" w:cs="仿宋"/>
                <w:snapToGrid/>
                <w:color w:val="auto"/>
                <w:spacing w:val="-7"/>
                <w:kern w:val="2"/>
                <w:sz w:val="32"/>
                <w:szCs w:val="32"/>
                <w:lang w:eastAsia="zh-CN"/>
              </w:rPr>
            </w:pPr>
            <w:r>
              <w:rPr>
                <w:rFonts w:hint="eastAsia" w:ascii="仿宋" w:hAnsi="仿宋" w:eastAsia="仿宋" w:cs="仿宋"/>
                <w:snapToGrid/>
                <w:color w:val="auto"/>
                <w:spacing w:val="-7"/>
                <w:kern w:val="2"/>
                <w:sz w:val="32"/>
                <w:szCs w:val="32"/>
                <w:lang w:eastAsia="zh-CN"/>
              </w:rPr>
              <w:t>计划数</w:t>
            </w:r>
          </w:p>
        </w:tc>
        <w:tc>
          <w:tcPr>
            <w:tcW w:w="4569" w:type="dxa"/>
            <w:shd w:val="clear" w:color="auto" w:fill="FFFFFF"/>
          </w:tcPr>
          <w:p w14:paraId="6B81A4FF">
            <w:pPr>
              <w:widowControl w:val="0"/>
              <w:kinsoku/>
              <w:autoSpaceDE/>
              <w:autoSpaceDN/>
              <w:adjustRightInd/>
              <w:snapToGrid/>
              <w:spacing w:before="196" w:line="183" w:lineRule="auto"/>
              <w:jc w:val="center"/>
              <w:textAlignment w:val="auto"/>
              <w:rPr>
                <w:rFonts w:ascii="仿宋" w:hAnsi="仿宋" w:eastAsia="仿宋" w:cs="仿宋"/>
                <w:snapToGrid/>
                <w:color w:val="auto"/>
                <w:kern w:val="2"/>
                <w:sz w:val="32"/>
                <w:szCs w:val="32"/>
                <w:lang w:eastAsia="zh-CN"/>
              </w:rPr>
            </w:pPr>
            <w:r>
              <w:rPr>
                <w:rFonts w:ascii="仿宋" w:hAnsi="仿宋" w:eastAsia="仿宋" w:cs="仿宋"/>
                <w:snapToGrid/>
                <w:color w:val="auto"/>
                <w:spacing w:val="-9"/>
                <w:kern w:val="2"/>
                <w:sz w:val="32"/>
                <w:szCs w:val="32"/>
                <w:lang w:eastAsia="zh-CN"/>
              </w:rPr>
              <w:t>备</w:t>
            </w:r>
            <w:r>
              <w:rPr>
                <w:rFonts w:hint="eastAsia" w:ascii="仿宋" w:hAnsi="仿宋" w:eastAsia="仿宋" w:cs="仿宋"/>
                <w:snapToGrid/>
                <w:color w:val="auto"/>
                <w:spacing w:val="-9"/>
                <w:kern w:val="2"/>
                <w:sz w:val="32"/>
                <w:szCs w:val="32"/>
                <w:lang w:eastAsia="zh-CN"/>
              </w:rPr>
              <w:t xml:space="preserve"> </w:t>
            </w:r>
            <w:r>
              <w:rPr>
                <w:rFonts w:ascii="仿宋" w:hAnsi="仿宋" w:eastAsia="仿宋" w:cs="仿宋"/>
                <w:snapToGrid/>
                <w:color w:val="auto"/>
                <w:spacing w:val="-9"/>
                <w:kern w:val="2"/>
                <w:sz w:val="32"/>
                <w:szCs w:val="32"/>
                <w:lang w:eastAsia="zh-CN"/>
              </w:rPr>
              <w:t>注</w:t>
            </w:r>
          </w:p>
        </w:tc>
      </w:tr>
      <w:tr w14:paraId="4F40E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2341" w:type="dxa"/>
            <w:shd w:val="clear" w:color="auto" w:fill="FFFFFF"/>
          </w:tcPr>
          <w:p w14:paraId="3E9C6A17">
            <w:pPr>
              <w:widowControl w:val="0"/>
              <w:kinsoku/>
              <w:autoSpaceDE/>
              <w:autoSpaceDN/>
              <w:adjustRightInd/>
              <w:snapToGrid/>
              <w:spacing w:before="195" w:line="183" w:lineRule="auto"/>
              <w:jc w:val="center"/>
              <w:textAlignment w:val="auto"/>
              <w:rPr>
                <w:rFonts w:ascii="仿宋" w:hAnsi="仿宋" w:eastAsia="仿宋" w:cs="仿宋"/>
                <w:snapToGrid/>
                <w:color w:val="auto"/>
                <w:kern w:val="2"/>
                <w:sz w:val="32"/>
                <w:szCs w:val="32"/>
                <w:lang w:eastAsia="zh-CN"/>
              </w:rPr>
            </w:pPr>
            <w:r>
              <w:rPr>
                <w:rFonts w:ascii="仿宋" w:hAnsi="仿宋" w:eastAsia="仿宋" w:cs="仿宋"/>
                <w:snapToGrid/>
                <w:color w:val="auto"/>
                <w:spacing w:val="-9"/>
                <w:kern w:val="2"/>
                <w:sz w:val="32"/>
                <w:szCs w:val="32"/>
                <w:lang w:eastAsia="zh-CN"/>
              </w:rPr>
              <w:t>长笛</w:t>
            </w:r>
          </w:p>
        </w:tc>
        <w:tc>
          <w:tcPr>
            <w:tcW w:w="1951" w:type="dxa"/>
            <w:vMerge w:val="restart"/>
            <w:shd w:val="clear" w:color="auto" w:fill="FFFFFF"/>
          </w:tcPr>
          <w:p w14:paraId="5B9F4546">
            <w:pPr>
              <w:widowControl w:val="0"/>
              <w:kinsoku/>
              <w:autoSpaceDE/>
              <w:autoSpaceDN/>
              <w:adjustRightInd/>
              <w:snapToGrid/>
              <w:spacing w:before="248" w:line="180" w:lineRule="auto"/>
              <w:ind w:firstLine="758"/>
              <w:jc w:val="both"/>
              <w:textAlignment w:val="auto"/>
              <w:rPr>
                <w:rFonts w:ascii="Times New Roman" w:hAnsi="Times New Roman" w:eastAsia="Times New Roman" w:cs="Times New Roman"/>
                <w:snapToGrid/>
                <w:color w:val="auto"/>
                <w:kern w:val="2"/>
                <w:sz w:val="32"/>
                <w:szCs w:val="32"/>
                <w:lang w:eastAsia="zh-CN"/>
              </w:rPr>
            </w:pPr>
          </w:p>
          <w:p w14:paraId="78196033">
            <w:pPr>
              <w:widowControl w:val="0"/>
              <w:kinsoku/>
              <w:autoSpaceDE/>
              <w:autoSpaceDN/>
              <w:adjustRightInd/>
              <w:snapToGrid/>
              <w:spacing w:before="248" w:line="180" w:lineRule="auto"/>
              <w:ind w:firstLine="758"/>
              <w:jc w:val="both"/>
              <w:textAlignment w:val="auto"/>
              <w:rPr>
                <w:rFonts w:ascii="Times New Roman" w:hAnsi="Times New Roman" w:eastAsia="Times New Roman" w:cs="Times New Roman"/>
                <w:snapToGrid/>
                <w:color w:val="auto"/>
                <w:kern w:val="2"/>
                <w:sz w:val="32"/>
                <w:szCs w:val="32"/>
                <w:lang w:eastAsia="zh-CN"/>
              </w:rPr>
            </w:pPr>
            <w:r>
              <w:rPr>
                <w:rFonts w:hint="eastAsia" w:ascii="Times New Roman" w:hAnsi="Times New Roman" w:eastAsia="Times New Roman" w:cs="Times New Roman"/>
                <w:snapToGrid/>
                <w:color w:val="auto"/>
                <w:kern w:val="2"/>
                <w:sz w:val="32"/>
                <w:szCs w:val="32"/>
                <w:lang w:eastAsia="zh-CN"/>
              </w:rPr>
              <w:t>2</w:t>
            </w:r>
          </w:p>
        </w:tc>
        <w:tc>
          <w:tcPr>
            <w:tcW w:w="4569" w:type="dxa"/>
            <w:vMerge w:val="restart"/>
            <w:shd w:val="clear" w:color="auto" w:fill="FFFFFF"/>
          </w:tcPr>
          <w:p w14:paraId="3D543092">
            <w:pPr>
              <w:widowControl w:val="0"/>
              <w:kinsoku/>
              <w:autoSpaceDE/>
              <w:autoSpaceDN/>
              <w:adjustRightInd/>
              <w:snapToGrid/>
              <w:jc w:val="both"/>
              <w:textAlignment w:val="auto"/>
              <w:rPr>
                <w:rFonts w:ascii="Malgun Gothic" w:hAnsi="Calibri" w:eastAsia="Times New Roman" w:cs="Times New Roman"/>
                <w:snapToGrid/>
                <w:color w:val="auto"/>
                <w:kern w:val="2"/>
                <w:szCs w:val="24"/>
                <w:lang w:eastAsia="zh-CN"/>
              </w:rPr>
            </w:pPr>
            <w:r>
              <w:rPr>
                <w:rFonts w:hint="eastAsia" w:ascii="仿宋" w:hAnsi="仿宋" w:eastAsia="仿宋" w:cs="仿宋"/>
                <w:snapToGrid/>
                <w:color w:val="auto"/>
                <w:spacing w:val="-3"/>
                <w:kern w:val="2"/>
                <w:sz w:val="32"/>
                <w:szCs w:val="32"/>
                <w:lang w:eastAsia="zh-CN"/>
              </w:rPr>
              <w:t>短笛1人，若无专业合格，计划数并入长笛。</w:t>
            </w:r>
          </w:p>
        </w:tc>
      </w:tr>
      <w:tr w14:paraId="5459B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2341" w:type="dxa"/>
            <w:shd w:val="clear" w:color="auto" w:fill="FFFFFF"/>
          </w:tcPr>
          <w:p w14:paraId="0B574787">
            <w:pPr>
              <w:widowControl w:val="0"/>
              <w:kinsoku/>
              <w:autoSpaceDE/>
              <w:autoSpaceDN/>
              <w:adjustRightInd/>
              <w:snapToGrid/>
              <w:spacing w:before="195" w:line="183" w:lineRule="auto"/>
              <w:jc w:val="center"/>
              <w:textAlignment w:val="auto"/>
              <w:rPr>
                <w:rFonts w:ascii="仿宋" w:hAnsi="仿宋" w:eastAsia="仿宋" w:cs="仿宋"/>
                <w:snapToGrid/>
                <w:color w:val="auto"/>
                <w:kern w:val="2"/>
                <w:sz w:val="32"/>
                <w:szCs w:val="32"/>
                <w:lang w:eastAsia="zh-CN"/>
              </w:rPr>
            </w:pPr>
            <w:r>
              <w:rPr>
                <w:rFonts w:ascii="仿宋" w:hAnsi="仿宋" w:eastAsia="仿宋" w:cs="仿宋"/>
                <w:snapToGrid/>
                <w:color w:val="auto"/>
                <w:spacing w:val="-14"/>
                <w:kern w:val="2"/>
                <w:sz w:val="32"/>
                <w:szCs w:val="32"/>
                <w:lang w:eastAsia="zh-CN"/>
              </w:rPr>
              <w:t>短笛</w:t>
            </w:r>
          </w:p>
        </w:tc>
        <w:tc>
          <w:tcPr>
            <w:tcW w:w="1951" w:type="dxa"/>
            <w:vMerge w:val="continue"/>
            <w:shd w:val="clear" w:color="auto" w:fill="FFFFFF"/>
          </w:tcPr>
          <w:p w14:paraId="47D31E16">
            <w:pPr>
              <w:widowControl w:val="0"/>
              <w:kinsoku/>
              <w:autoSpaceDE/>
              <w:autoSpaceDN/>
              <w:adjustRightInd/>
              <w:snapToGrid/>
              <w:spacing w:before="248" w:line="180" w:lineRule="auto"/>
              <w:ind w:firstLine="758"/>
              <w:jc w:val="both"/>
              <w:textAlignment w:val="auto"/>
              <w:rPr>
                <w:rFonts w:ascii="Times New Roman" w:hAnsi="Times New Roman" w:eastAsia="Times New Roman" w:cs="Times New Roman"/>
                <w:snapToGrid/>
                <w:color w:val="auto"/>
                <w:kern w:val="2"/>
                <w:sz w:val="32"/>
                <w:szCs w:val="32"/>
                <w:lang w:eastAsia="zh-CN"/>
              </w:rPr>
            </w:pPr>
          </w:p>
        </w:tc>
        <w:tc>
          <w:tcPr>
            <w:tcW w:w="4569" w:type="dxa"/>
            <w:vMerge w:val="continue"/>
            <w:shd w:val="clear" w:color="auto" w:fill="FFFFFF"/>
          </w:tcPr>
          <w:p w14:paraId="6521AB90">
            <w:pPr>
              <w:widowControl w:val="0"/>
              <w:kinsoku/>
              <w:autoSpaceDE/>
              <w:autoSpaceDN/>
              <w:adjustRightInd/>
              <w:snapToGrid/>
              <w:jc w:val="both"/>
              <w:textAlignment w:val="auto"/>
              <w:rPr>
                <w:rFonts w:ascii="Malgun Gothic" w:hAnsi="Calibri" w:eastAsia="Times New Roman" w:cs="Times New Roman"/>
                <w:snapToGrid/>
                <w:color w:val="auto"/>
                <w:kern w:val="2"/>
                <w:szCs w:val="24"/>
                <w:lang w:eastAsia="zh-CN"/>
              </w:rPr>
            </w:pPr>
          </w:p>
        </w:tc>
      </w:tr>
      <w:tr w14:paraId="220CC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2341" w:type="dxa"/>
            <w:shd w:val="clear" w:color="auto" w:fill="FFFFFF"/>
          </w:tcPr>
          <w:p w14:paraId="68695CCA">
            <w:pPr>
              <w:widowControl w:val="0"/>
              <w:kinsoku/>
              <w:autoSpaceDE/>
              <w:autoSpaceDN/>
              <w:adjustRightInd/>
              <w:snapToGrid/>
              <w:spacing w:before="194" w:line="183" w:lineRule="auto"/>
              <w:jc w:val="center"/>
              <w:textAlignment w:val="auto"/>
              <w:rPr>
                <w:rFonts w:ascii="仿宋" w:hAnsi="仿宋" w:eastAsia="仿宋" w:cs="仿宋"/>
                <w:snapToGrid/>
                <w:color w:val="auto"/>
                <w:kern w:val="2"/>
                <w:sz w:val="32"/>
                <w:szCs w:val="32"/>
                <w:lang w:eastAsia="zh-CN"/>
              </w:rPr>
            </w:pPr>
            <w:r>
              <w:rPr>
                <w:rFonts w:ascii="仿宋" w:hAnsi="仿宋" w:eastAsia="仿宋" w:cs="仿宋"/>
                <w:snapToGrid/>
                <w:color w:val="auto"/>
                <w:spacing w:val="-8"/>
                <w:kern w:val="2"/>
                <w:sz w:val="32"/>
                <w:szCs w:val="32"/>
                <w:lang w:eastAsia="zh-CN"/>
              </w:rPr>
              <w:t>小号</w:t>
            </w:r>
          </w:p>
        </w:tc>
        <w:tc>
          <w:tcPr>
            <w:tcW w:w="1951" w:type="dxa"/>
            <w:shd w:val="clear" w:color="auto" w:fill="FFFFFF"/>
          </w:tcPr>
          <w:p w14:paraId="31DE2CBB">
            <w:pPr>
              <w:widowControl w:val="0"/>
              <w:kinsoku/>
              <w:autoSpaceDE/>
              <w:autoSpaceDN/>
              <w:adjustRightInd/>
              <w:snapToGrid/>
              <w:spacing w:before="247" w:line="180" w:lineRule="auto"/>
              <w:ind w:firstLine="727"/>
              <w:jc w:val="both"/>
              <w:textAlignment w:val="auto"/>
              <w:rPr>
                <w:rFonts w:ascii="Times New Roman" w:hAnsi="Times New Roman" w:eastAsia="Times New Roman" w:cs="Times New Roman"/>
                <w:snapToGrid/>
                <w:color w:val="auto"/>
                <w:kern w:val="2"/>
                <w:sz w:val="32"/>
                <w:szCs w:val="32"/>
                <w:lang w:eastAsia="zh-CN"/>
              </w:rPr>
            </w:pPr>
            <w:r>
              <w:rPr>
                <w:rFonts w:ascii="Times New Roman" w:hAnsi="Times New Roman" w:eastAsia="Times New Roman" w:cs="Times New Roman"/>
                <w:snapToGrid/>
                <w:color w:val="auto"/>
                <w:kern w:val="2"/>
                <w:sz w:val="32"/>
                <w:szCs w:val="32"/>
                <w:lang w:eastAsia="zh-CN"/>
              </w:rPr>
              <w:t>1</w:t>
            </w:r>
          </w:p>
        </w:tc>
        <w:tc>
          <w:tcPr>
            <w:tcW w:w="4569" w:type="dxa"/>
            <w:shd w:val="clear" w:color="auto" w:fill="FFFFFF"/>
          </w:tcPr>
          <w:p w14:paraId="7A095B80">
            <w:pPr>
              <w:widowControl w:val="0"/>
              <w:kinsoku/>
              <w:autoSpaceDE/>
              <w:autoSpaceDN/>
              <w:adjustRightInd/>
              <w:snapToGrid/>
              <w:jc w:val="both"/>
              <w:textAlignment w:val="auto"/>
              <w:rPr>
                <w:rFonts w:ascii="Malgun Gothic" w:hAnsi="Calibri" w:eastAsia="Times New Roman" w:cs="Times New Roman"/>
                <w:snapToGrid/>
                <w:color w:val="auto"/>
                <w:kern w:val="2"/>
                <w:szCs w:val="24"/>
                <w:lang w:eastAsia="zh-CN"/>
              </w:rPr>
            </w:pPr>
          </w:p>
        </w:tc>
      </w:tr>
      <w:tr w14:paraId="6B9A3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2341" w:type="dxa"/>
            <w:shd w:val="clear" w:color="auto" w:fill="FFFFFF"/>
          </w:tcPr>
          <w:p w14:paraId="5D2B780A">
            <w:pPr>
              <w:widowControl w:val="0"/>
              <w:kinsoku/>
              <w:autoSpaceDE/>
              <w:autoSpaceDN/>
              <w:adjustRightInd/>
              <w:snapToGrid/>
              <w:spacing w:before="186" w:line="183" w:lineRule="auto"/>
              <w:jc w:val="center"/>
              <w:textAlignment w:val="auto"/>
              <w:rPr>
                <w:rFonts w:ascii="仿宋" w:hAnsi="仿宋" w:eastAsia="仿宋" w:cs="仿宋"/>
                <w:snapToGrid/>
                <w:color w:val="auto"/>
                <w:kern w:val="2"/>
                <w:sz w:val="32"/>
                <w:szCs w:val="32"/>
                <w:lang w:eastAsia="zh-CN"/>
              </w:rPr>
            </w:pPr>
            <w:r>
              <w:rPr>
                <w:rFonts w:ascii="仿宋" w:hAnsi="仿宋" w:eastAsia="仿宋" w:cs="仿宋"/>
                <w:snapToGrid/>
                <w:color w:val="auto"/>
                <w:spacing w:val="-20"/>
                <w:kern w:val="2"/>
                <w:sz w:val="32"/>
                <w:szCs w:val="32"/>
                <w:lang w:eastAsia="zh-CN"/>
              </w:rPr>
              <w:t>圆号</w:t>
            </w:r>
          </w:p>
        </w:tc>
        <w:tc>
          <w:tcPr>
            <w:tcW w:w="1951" w:type="dxa"/>
            <w:shd w:val="clear" w:color="auto" w:fill="FFFFFF"/>
          </w:tcPr>
          <w:p w14:paraId="02BF7401">
            <w:pPr>
              <w:widowControl w:val="0"/>
              <w:kinsoku/>
              <w:autoSpaceDE/>
              <w:autoSpaceDN/>
              <w:adjustRightInd/>
              <w:snapToGrid/>
              <w:spacing w:before="240" w:line="180" w:lineRule="auto"/>
              <w:ind w:firstLine="758"/>
              <w:jc w:val="both"/>
              <w:textAlignment w:val="auto"/>
              <w:rPr>
                <w:rFonts w:ascii="Times New Roman" w:hAnsi="Times New Roman" w:eastAsia="Times New Roman" w:cs="Times New Roman"/>
                <w:snapToGrid/>
                <w:color w:val="auto"/>
                <w:kern w:val="2"/>
                <w:sz w:val="32"/>
                <w:szCs w:val="32"/>
                <w:lang w:eastAsia="zh-CN"/>
              </w:rPr>
            </w:pPr>
            <w:r>
              <w:rPr>
                <w:rFonts w:ascii="Times New Roman" w:hAnsi="Times New Roman" w:eastAsia="Times New Roman" w:cs="Times New Roman"/>
                <w:snapToGrid/>
                <w:color w:val="auto"/>
                <w:kern w:val="2"/>
                <w:sz w:val="32"/>
                <w:szCs w:val="32"/>
                <w:lang w:eastAsia="zh-CN"/>
              </w:rPr>
              <w:t>2</w:t>
            </w:r>
          </w:p>
        </w:tc>
        <w:tc>
          <w:tcPr>
            <w:tcW w:w="4569" w:type="dxa"/>
            <w:shd w:val="clear" w:color="auto" w:fill="FFFFFF"/>
          </w:tcPr>
          <w:p w14:paraId="210D92B2">
            <w:pPr>
              <w:widowControl w:val="0"/>
              <w:kinsoku/>
              <w:autoSpaceDE/>
              <w:autoSpaceDN/>
              <w:adjustRightInd/>
              <w:snapToGrid/>
              <w:spacing w:before="194" w:line="258" w:lineRule="auto"/>
              <w:ind w:right="1428"/>
              <w:jc w:val="both"/>
              <w:textAlignment w:val="auto"/>
              <w:rPr>
                <w:rFonts w:ascii="仿宋" w:hAnsi="仿宋" w:eastAsia="仿宋" w:cs="仿宋"/>
                <w:snapToGrid/>
                <w:color w:val="auto"/>
                <w:spacing w:val="-2"/>
                <w:kern w:val="2"/>
                <w:sz w:val="32"/>
                <w:szCs w:val="32"/>
                <w:lang w:eastAsia="zh-CN"/>
              </w:rPr>
            </w:pPr>
          </w:p>
        </w:tc>
      </w:tr>
      <w:tr w14:paraId="32074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2341" w:type="dxa"/>
            <w:shd w:val="clear" w:color="auto" w:fill="FFFFFF"/>
          </w:tcPr>
          <w:p w14:paraId="7453C6A0">
            <w:pPr>
              <w:widowControl w:val="0"/>
              <w:kinsoku/>
              <w:autoSpaceDE/>
              <w:autoSpaceDN/>
              <w:adjustRightInd/>
              <w:snapToGrid/>
              <w:spacing w:before="188" w:line="183" w:lineRule="auto"/>
              <w:jc w:val="center"/>
              <w:textAlignment w:val="auto"/>
              <w:rPr>
                <w:rFonts w:ascii="仿宋" w:hAnsi="仿宋" w:eastAsia="仿宋" w:cs="仿宋"/>
                <w:snapToGrid/>
                <w:color w:val="auto"/>
                <w:kern w:val="2"/>
                <w:sz w:val="32"/>
                <w:szCs w:val="32"/>
                <w:lang w:eastAsia="zh-CN"/>
              </w:rPr>
            </w:pPr>
            <w:r>
              <w:rPr>
                <w:rFonts w:ascii="仿宋" w:hAnsi="仿宋" w:eastAsia="仿宋" w:cs="仿宋"/>
                <w:snapToGrid/>
                <w:color w:val="auto"/>
                <w:spacing w:val="-9"/>
                <w:kern w:val="2"/>
                <w:sz w:val="32"/>
                <w:szCs w:val="32"/>
                <w:lang w:eastAsia="zh-CN"/>
              </w:rPr>
              <w:t>长号</w:t>
            </w:r>
          </w:p>
        </w:tc>
        <w:tc>
          <w:tcPr>
            <w:tcW w:w="1951" w:type="dxa"/>
            <w:shd w:val="clear" w:color="auto" w:fill="FFFFFF"/>
          </w:tcPr>
          <w:p w14:paraId="2A6A4BFA">
            <w:pPr>
              <w:widowControl w:val="0"/>
              <w:kinsoku/>
              <w:autoSpaceDE/>
              <w:autoSpaceDN/>
              <w:adjustRightInd/>
              <w:snapToGrid/>
              <w:spacing w:before="241" w:line="180" w:lineRule="auto"/>
              <w:ind w:firstLine="727"/>
              <w:jc w:val="both"/>
              <w:textAlignment w:val="auto"/>
              <w:rPr>
                <w:rFonts w:ascii="Times New Roman" w:hAnsi="Times New Roman" w:eastAsia="Times New Roman" w:cs="Times New Roman"/>
                <w:snapToGrid/>
                <w:color w:val="auto"/>
                <w:kern w:val="2"/>
                <w:sz w:val="32"/>
                <w:szCs w:val="32"/>
                <w:lang w:eastAsia="zh-CN"/>
              </w:rPr>
            </w:pPr>
            <w:r>
              <w:rPr>
                <w:rFonts w:ascii="Times New Roman" w:hAnsi="Times New Roman" w:eastAsia="Times New Roman" w:cs="Times New Roman"/>
                <w:snapToGrid/>
                <w:color w:val="auto"/>
                <w:kern w:val="2"/>
                <w:sz w:val="32"/>
                <w:szCs w:val="32"/>
                <w:lang w:eastAsia="zh-CN"/>
              </w:rPr>
              <w:t>2</w:t>
            </w:r>
          </w:p>
        </w:tc>
        <w:tc>
          <w:tcPr>
            <w:tcW w:w="4569" w:type="dxa"/>
            <w:shd w:val="clear" w:color="auto" w:fill="FFFFFF"/>
          </w:tcPr>
          <w:p w14:paraId="00F49E20">
            <w:pPr>
              <w:widowControl w:val="0"/>
              <w:kinsoku/>
              <w:autoSpaceDE/>
              <w:autoSpaceDN/>
              <w:adjustRightInd/>
              <w:snapToGrid/>
              <w:jc w:val="both"/>
              <w:textAlignment w:val="auto"/>
              <w:rPr>
                <w:rFonts w:ascii="Malgun Gothic" w:hAnsi="Calibri" w:eastAsia="Times New Roman" w:cs="Times New Roman"/>
                <w:snapToGrid/>
                <w:color w:val="auto"/>
                <w:kern w:val="2"/>
                <w:szCs w:val="24"/>
                <w:lang w:eastAsia="zh-CN"/>
              </w:rPr>
            </w:pPr>
          </w:p>
        </w:tc>
      </w:tr>
      <w:tr w14:paraId="22A6C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2341" w:type="dxa"/>
            <w:shd w:val="clear" w:color="auto" w:fill="FFFFFF"/>
          </w:tcPr>
          <w:p w14:paraId="433C86E7">
            <w:pPr>
              <w:widowControl w:val="0"/>
              <w:kinsoku/>
              <w:autoSpaceDE/>
              <w:autoSpaceDN/>
              <w:adjustRightInd/>
              <w:snapToGrid/>
              <w:spacing w:before="190" w:line="183" w:lineRule="auto"/>
              <w:jc w:val="center"/>
              <w:textAlignment w:val="auto"/>
              <w:rPr>
                <w:rFonts w:ascii="仿宋" w:hAnsi="仿宋" w:eastAsia="仿宋" w:cs="仿宋"/>
                <w:snapToGrid/>
                <w:color w:val="auto"/>
                <w:kern w:val="2"/>
                <w:sz w:val="32"/>
                <w:szCs w:val="32"/>
                <w:lang w:eastAsia="zh-CN"/>
              </w:rPr>
            </w:pPr>
            <w:r>
              <w:rPr>
                <w:rFonts w:ascii="仿宋" w:hAnsi="仿宋" w:eastAsia="仿宋" w:cs="仿宋"/>
                <w:snapToGrid/>
                <w:color w:val="auto"/>
                <w:spacing w:val="-14"/>
                <w:kern w:val="2"/>
                <w:sz w:val="32"/>
                <w:szCs w:val="32"/>
                <w:lang w:eastAsia="zh-CN"/>
              </w:rPr>
              <w:t>大号</w:t>
            </w:r>
          </w:p>
        </w:tc>
        <w:tc>
          <w:tcPr>
            <w:tcW w:w="1951" w:type="dxa"/>
            <w:shd w:val="clear" w:color="auto" w:fill="FFFFFF"/>
          </w:tcPr>
          <w:p w14:paraId="12FFED1E">
            <w:pPr>
              <w:widowControl w:val="0"/>
              <w:kinsoku/>
              <w:autoSpaceDE/>
              <w:autoSpaceDN/>
              <w:adjustRightInd/>
              <w:snapToGrid/>
              <w:spacing w:before="243" w:line="180" w:lineRule="auto"/>
              <w:ind w:firstLine="758"/>
              <w:jc w:val="both"/>
              <w:textAlignment w:val="auto"/>
              <w:rPr>
                <w:rFonts w:ascii="Times New Roman" w:hAnsi="Times New Roman" w:eastAsia="Times New Roman" w:cs="Times New Roman"/>
                <w:snapToGrid/>
                <w:color w:val="auto"/>
                <w:kern w:val="2"/>
                <w:sz w:val="32"/>
                <w:szCs w:val="32"/>
                <w:lang w:eastAsia="zh-CN"/>
              </w:rPr>
            </w:pPr>
            <w:r>
              <w:rPr>
                <w:rFonts w:ascii="Times New Roman" w:hAnsi="Times New Roman" w:eastAsia="Times New Roman" w:cs="Times New Roman"/>
                <w:snapToGrid/>
                <w:color w:val="auto"/>
                <w:kern w:val="2"/>
                <w:sz w:val="32"/>
                <w:szCs w:val="32"/>
                <w:lang w:eastAsia="zh-CN"/>
              </w:rPr>
              <w:t>2</w:t>
            </w:r>
          </w:p>
        </w:tc>
        <w:tc>
          <w:tcPr>
            <w:tcW w:w="4569" w:type="dxa"/>
            <w:shd w:val="clear" w:color="auto" w:fill="FFFFFF"/>
          </w:tcPr>
          <w:p w14:paraId="0C478F71">
            <w:pPr>
              <w:widowControl w:val="0"/>
              <w:kinsoku/>
              <w:autoSpaceDE/>
              <w:autoSpaceDN/>
              <w:adjustRightInd/>
              <w:snapToGrid/>
              <w:spacing w:before="194" w:line="258" w:lineRule="auto"/>
              <w:ind w:right="1428"/>
              <w:jc w:val="both"/>
              <w:textAlignment w:val="auto"/>
              <w:rPr>
                <w:rFonts w:ascii="仿宋" w:hAnsi="仿宋" w:eastAsia="仿宋" w:cs="仿宋"/>
                <w:snapToGrid/>
                <w:color w:val="auto"/>
                <w:spacing w:val="-2"/>
                <w:kern w:val="2"/>
                <w:sz w:val="32"/>
                <w:szCs w:val="32"/>
                <w:lang w:eastAsia="zh-CN"/>
              </w:rPr>
            </w:pPr>
          </w:p>
        </w:tc>
      </w:tr>
      <w:tr w14:paraId="7D550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2341" w:type="dxa"/>
            <w:shd w:val="clear" w:color="auto" w:fill="FFFFFF"/>
          </w:tcPr>
          <w:p w14:paraId="4A30DA74">
            <w:pPr>
              <w:widowControl w:val="0"/>
              <w:kinsoku/>
              <w:autoSpaceDE/>
              <w:autoSpaceDN/>
              <w:adjustRightInd/>
              <w:snapToGrid/>
              <w:spacing w:before="192" w:line="183" w:lineRule="auto"/>
              <w:jc w:val="center"/>
              <w:textAlignment w:val="auto"/>
              <w:rPr>
                <w:rFonts w:ascii="仿宋" w:hAnsi="仿宋" w:eastAsia="仿宋" w:cs="仿宋"/>
                <w:snapToGrid/>
                <w:color w:val="auto"/>
                <w:kern w:val="2"/>
                <w:sz w:val="32"/>
                <w:szCs w:val="32"/>
                <w:lang w:eastAsia="zh-CN"/>
              </w:rPr>
            </w:pPr>
            <w:r>
              <w:rPr>
                <w:rFonts w:ascii="仿宋" w:hAnsi="仿宋" w:eastAsia="仿宋" w:cs="仿宋"/>
                <w:snapToGrid/>
                <w:color w:val="auto"/>
                <w:spacing w:val="-6"/>
                <w:kern w:val="2"/>
                <w:sz w:val="32"/>
                <w:szCs w:val="32"/>
                <w:lang w:eastAsia="zh-CN"/>
              </w:rPr>
              <w:t>打击乐</w:t>
            </w:r>
          </w:p>
        </w:tc>
        <w:tc>
          <w:tcPr>
            <w:tcW w:w="1951" w:type="dxa"/>
            <w:shd w:val="clear" w:color="auto" w:fill="FFFFFF"/>
          </w:tcPr>
          <w:p w14:paraId="717A314C">
            <w:pPr>
              <w:widowControl w:val="0"/>
              <w:kinsoku/>
              <w:autoSpaceDE/>
              <w:autoSpaceDN/>
              <w:adjustRightInd/>
              <w:snapToGrid/>
              <w:spacing w:before="246" w:line="180" w:lineRule="auto"/>
              <w:ind w:firstLine="734"/>
              <w:jc w:val="both"/>
              <w:textAlignment w:val="auto"/>
              <w:rPr>
                <w:rFonts w:ascii="Times New Roman" w:hAnsi="Times New Roman" w:eastAsia="Times New Roman" w:cs="Times New Roman"/>
                <w:snapToGrid/>
                <w:color w:val="auto"/>
                <w:kern w:val="2"/>
                <w:sz w:val="32"/>
                <w:szCs w:val="32"/>
                <w:lang w:eastAsia="zh-CN"/>
              </w:rPr>
            </w:pPr>
            <w:r>
              <w:rPr>
                <w:rFonts w:hint="eastAsia" w:ascii="Times New Roman" w:hAnsi="Times New Roman" w:eastAsia="Times New Roman" w:cs="Times New Roman"/>
                <w:snapToGrid/>
                <w:color w:val="auto"/>
                <w:kern w:val="2"/>
                <w:sz w:val="32"/>
                <w:szCs w:val="32"/>
                <w:lang w:eastAsia="zh-CN"/>
              </w:rPr>
              <w:t>2</w:t>
            </w:r>
          </w:p>
        </w:tc>
        <w:tc>
          <w:tcPr>
            <w:tcW w:w="4569" w:type="dxa"/>
            <w:shd w:val="clear" w:color="auto" w:fill="FFFFFF"/>
          </w:tcPr>
          <w:p w14:paraId="600DEDEE">
            <w:pPr>
              <w:widowControl w:val="0"/>
              <w:kinsoku/>
              <w:autoSpaceDE/>
              <w:autoSpaceDN/>
              <w:adjustRightInd/>
              <w:snapToGrid/>
              <w:spacing w:before="194" w:line="258" w:lineRule="auto"/>
              <w:ind w:right="164"/>
              <w:jc w:val="both"/>
              <w:textAlignment w:val="auto"/>
              <w:rPr>
                <w:rFonts w:ascii="仿宋" w:hAnsi="仿宋" w:eastAsia="仿宋" w:cs="仿宋"/>
                <w:snapToGrid/>
                <w:color w:val="auto"/>
                <w:kern w:val="2"/>
                <w:sz w:val="32"/>
                <w:szCs w:val="32"/>
                <w:lang w:eastAsia="zh-CN"/>
              </w:rPr>
            </w:pPr>
            <w:r>
              <w:rPr>
                <w:rFonts w:hint="eastAsia" w:ascii="仿宋" w:hAnsi="仿宋" w:eastAsia="仿宋" w:cs="仿宋"/>
                <w:snapToGrid/>
                <w:color w:val="auto"/>
                <w:spacing w:val="-2"/>
                <w:kern w:val="2"/>
                <w:sz w:val="32"/>
                <w:szCs w:val="32"/>
                <w:lang w:eastAsia="zh-CN"/>
              </w:rPr>
              <w:t>仅招收定音鼓、爵士鼓、马林巴琴。</w:t>
            </w:r>
          </w:p>
        </w:tc>
      </w:tr>
      <w:tr w14:paraId="44639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2341" w:type="dxa"/>
            <w:shd w:val="clear" w:color="auto" w:fill="FFFFFF"/>
          </w:tcPr>
          <w:p w14:paraId="4513FDC5">
            <w:pPr>
              <w:widowControl w:val="0"/>
              <w:kinsoku/>
              <w:autoSpaceDE/>
              <w:autoSpaceDN/>
              <w:adjustRightInd/>
              <w:snapToGrid/>
              <w:spacing w:before="187" w:line="183" w:lineRule="auto"/>
              <w:jc w:val="center"/>
              <w:textAlignment w:val="auto"/>
              <w:rPr>
                <w:rFonts w:ascii="仿宋" w:hAnsi="仿宋" w:eastAsia="仿宋" w:cs="仿宋"/>
                <w:snapToGrid/>
                <w:color w:val="auto"/>
                <w:kern w:val="2"/>
                <w:sz w:val="32"/>
                <w:szCs w:val="32"/>
                <w:lang w:eastAsia="zh-CN"/>
              </w:rPr>
            </w:pPr>
            <w:r>
              <w:rPr>
                <w:rFonts w:ascii="仿宋" w:hAnsi="仿宋" w:eastAsia="仿宋" w:cs="仿宋"/>
                <w:snapToGrid/>
                <w:color w:val="auto"/>
                <w:spacing w:val="-7"/>
                <w:kern w:val="2"/>
                <w:sz w:val="32"/>
                <w:szCs w:val="32"/>
                <w:lang w:eastAsia="zh-CN"/>
              </w:rPr>
              <w:t>单簧管</w:t>
            </w:r>
          </w:p>
        </w:tc>
        <w:tc>
          <w:tcPr>
            <w:tcW w:w="1951" w:type="dxa"/>
            <w:vMerge w:val="restart"/>
            <w:shd w:val="clear" w:color="auto" w:fill="FFFFFF"/>
          </w:tcPr>
          <w:p w14:paraId="5EA6CF45">
            <w:pPr>
              <w:widowControl w:val="0"/>
              <w:kinsoku/>
              <w:autoSpaceDE/>
              <w:autoSpaceDN/>
              <w:adjustRightInd/>
              <w:snapToGrid/>
              <w:spacing w:before="186" w:line="334" w:lineRule="auto"/>
              <w:ind w:left="184" w:right="161" w:hanging="9"/>
              <w:jc w:val="center"/>
              <w:textAlignment w:val="auto"/>
              <w:rPr>
                <w:rFonts w:ascii="仿宋" w:hAnsi="仿宋" w:eastAsia="仿宋" w:cs="仿宋"/>
                <w:snapToGrid/>
                <w:color w:val="auto"/>
                <w:spacing w:val="-7"/>
                <w:kern w:val="2"/>
                <w:sz w:val="32"/>
                <w:szCs w:val="32"/>
                <w:lang w:eastAsia="zh-CN"/>
              </w:rPr>
            </w:pPr>
            <w:r>
              <w:rPr>
                <w:rFonts w:hint="eastAsia" w:ascii="仿宋" w:hAnsi="仿宋" w:eastAsia="仿宋" w:cs="仿宋"/>
                <w:snapToGrid/>
                <w:color w:val="auto"/>
                <w:spacing w:val="-7"/>
                <w:kern w:val="2"/>
                <w:sz w:val="32"/>
                <w:szCs w:val="32"/>
                <w:lang w:eastAsia="zh-CN"/>
              </w:rPr>
              <w:t>4</w:t>
            </w:r>
          </w:p>
        </w:tc>
        <w:tc>
          <w:tcPr>
            <w:tcW w:w="4569" w:type="dxa"/>
            <w:vMerge w:val="restart"/>
            <w:shd w:val="clear" w:color="auto" w:fill="FFFFFF"/>
          </w:tcPr>
          <w:p w14:paraId="2D4FE756">
            <w:pPr>
              <w:widowControl w:val="0"/>
              <w:kinsoku/>
              <w:autoSpaceDE/>
              <w:autoSpaceDN/>
              <w:adjustRightInd/>
              <w:snapToGrid/>
              <w:spacing w:before="186" w:line="334" w:lineRule="auto"/>
              <w:ind w:right="161"/>
              <w:jc w:val="both"/>
              <w:textAlignment w:val="auto"/>
              <w:rPr>
                <w:rFonts w:ascii="仿宋" w:hAnsi="仿宋" w:eastAsia="仿宋" w:cs="仿宋"/>
                <w:snapToGrid/>
                <w:color w:val="auto"/>
                <w:spacing w:val="-7"/>
                <w:kern w:val="2"/>
                <w:sz w:val="32"/>
                <w:szCs w:val="32"/>
                <w:lang w:eastAsia="zh-CN"/>
              </w:rPr>
            </w:pPr>
            <w:r>
              <w:rPr>
                <w:rFonts w:hint="eastAsia" w:ascii="仿宋" w:hAnsi="仿宋" w:eastAsia="仿宋" w:cs="仿宋"/>
                <w:snapToGrid/>
                <w:color w:val="auto"/>
                <w:spacing w:val="-7"/>
                <w:kern w:val="2"/>
                <w:sz w:val="32"/>
                <w:szCs w:val="32"/>
                <w:lang w:eastAsia="zh-CN"/>
              </w:rPr>
              <w:t>双</w:t>
            </w:r>
            <w:r>
              <w:rPr>
                <w:rFonts w:ascii="仿宋" w:hAnsi="仿宋" w:eastAsia="仿宋" w:cs="仿宋"/>
                <w:snapToGrid/>
                <w:color w:val="auto"/>
                <w:spacing w:val="-7"/>
                <w:kern w:val="2"/>
                <w:sz w:val="32"/>
                <w:szCs w:val="32"/>
                <w:lang w:eastAsia="zh-CN"/>
              </w:rPr>
              <w:t>簧管</w:t>
            </w:r>
            <w:r>
              <w:rPr>
                <w:rFonts w:hint="eastAsia" w:ascii="仿宋" w:hAnsi="仿宋" w:eastAsia="仿宋" w:cs="仿宋"/>
                <w:snapToGrid/>
                <w:color w:val="auto"/>
                <w:spacing w:val="-7"/>
                <w:kern w:val="2"/>
                <w:sz w:val="32"/>
                <w:szCs w:val="32"/>
                <w:lang w:eastAsia="zh-CN"/>
              </w:rPr>
              <w:t>2</w:t>
            </w:r>
            <w:r>
              <w:rPr>
                <w:rFonts w:ascii="仿宋" w:hAnsi="仿宋" w:eastAsia="仿宋" w:cs="仿宋"/>
                <w:snapToGrid/>
                <w:color w:val="auto"/>
                <w:spacing w:val="-7"/>
                <w:kern w:val="2"/>
                <w:sz w:val="32"/>
                <w:szCs w:val="32"/>
                <w:lang w:eastAsia="zh-CN"/>
              </w:rPr>
              <w:t>人</w:t>
            </w:r>
            <w:r>
              <w:rPr>
                <w:rFonts w:hint="eastAsia" w:ascii="仿宋" w:hAnsi="仿宋" w:eastAsia="仿宋" w:cs="仿宋"/>
                <w:snapToGrid/>
                <w:color w:val="auto"/>
                <w:spacing w:val="-7"/>
                <w:kern w:val="2"/>
                <w:sz w:val="32"/>
                <w:szCs w:val="32"/>
                <w:lang w:eastAsia="zh-CN"/>
              </w:rPr>
              <w:t>，</w:t>
            </w:r>
            <w:r>
              <w:rPr>
                <w:rFonts w:ascii="仿宋" w:hAnsi="仿宋" w:eastAsia="仿宋" w:cs="仿宋"/>
                <w:snapToGrid/>
                <w:color w:val="auto"/>
                <w:spacing w:val="-7"/>
                <w:kern w:val="2"/>
                <w:sz w:val="32"/>
                <w:szCs w:val="32"/>
                <w:lang w:eastAsia="zh-CN"/>
              </w:rPr>
              <w:t>若无专业合格，计划数并入</w:t>
            </w:r>
            <w:r>
              <w:rPr>
                <w:rFonts w:hint="eastAsia" w:ascii="仿宋" w:hAnsi="仿宋" w:eastAsia="仿宋" w:cs="仿宋"/>
                <w:snapToGrid/>
                <w:color w:val="auto"/>
                <w:spacing w:val="-7"/>
                <w:kern w:val="2"/>
                <w:sz w:val="32"/>
                <w:szCs w:val="32"/>
                <w:lang w:eastAsia="zh-CN"/>
              </w:rPr>
              <w:t>单簧管。</w:t>
            </w:r>
          </w:p>
        </w:tc>
      </w:tr>
      <w:tr w14:paraId="2DB4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2341" w:type="dxa"/>
            <w:shd w:val="clear" w:color="auto" w:fill="FFFFFF"/>
          </w:tcPr>
          <w:p w14:paraId="63A242F9">
            <w:pPr>
              <w:widowControl w:val="0"/>
              <w:kinsoku/>
              <w:autoSpaceDE/>
              <w:autoSpaceDN/>
              <w:adjustRightInd/>
              <w:snapToGrid/>
              <w:spacing w:before="187" w:line="183" w:lineRule="auto"/>
              <w:jc w:val="center"/>
              <w:textAlignment w:val="auto"/>
              <w:rPr>
                <w:rFonts w:ascii="仿宋" w:hAnsi="仿宋" w:eastAsia="仿宋" w:cs="仿宋"/>
                <w:snapToGrid/>
                <w:color w:val="auto"/>
                <w:spacing w:val="-7"/>
                <w:kern w:val="2"/>
                <w:sz w:val="32"/>
                <w:szCs w:val="32"/>
                <w:lang w:eastAsia="zh-CN"/>
              </w:rPr>
            </w:pPr>
            <w:r>
              <w:rPr>
                <w:rFonts w:ascii="仿宋" w:hAnsi="仿宋" w:eastAsia="仿宋" w:cs="仿宋"/>
                <w:snapToGrid/>
                <w:color w:val="auto"/>
                <w:spacing w:val="-7"/>
                <w:kern w:val="2"/>
                <w:sz w:val="32"/>
                <w:szCs w:val="32"/>
                <w:lang w:eastAsia="zh-CN"/>
              </w:rPr>
              <w:t>双簧管</w:t>
            </w:r>
          </w:p>
        </w:tc>
        <w:tc>
          <w:tcPr>
            <w:tcW w:w="1951" w:type="dxa"/>
            <w:vMerge w:val="continue"/>
            <w:shd w:val="clear" w:color="auto" w:fill="FFFFFF"/>
          </w:tcPr>
          <w:p w14:paraId="0D36863C">
            <w:pPr>
              <w:widowControl w:val="0"/>
              <w:kinsoku/>
              <w:autoSpaceDE/>
              <w:autoSpaceDN/>
              <w:adjustRightInd/>
              <w:snapToGrid/>
              <w:spacing w:before="186" w:line="334" w:lineRule="auto"/>
              <w:ind w:left="184" w:right="161" w:hanging="9"/>
              <w:jc w:val="center"/>
              <w:textAlignment w:val="auto"/>
              <w:rPr>
                <w:rFonts w:ascii="仿宋" w:hAnsi="仿宋" w:eastAsia="仿宋" w:cs="仿宋"/>
                <w:snapToGrid/>
                <w:color w:val="auto"/>
                <w:spacing w:val="-7"/>
                <w:kern w:val="2"/>
                <w:sz w:val="32"/>
                <w:szCs w:val="32"/>
                <w:lang w:eastAsia="zh-CN"/>
              </w:rPr>
            </w:pPr>
          </w:p>
        </w:tc>
        <w:tc>
          <w:tcPr>
            <w:tcW w:w="4569" w:type="dxa"/>
            <w:vMerge w:val="continue"/>
            <w:shd w:val="clear" w:color="auto" w:fill="FFFFFF"/>
          </w:tcPr>
          <w:p w14:paraId="76D4A0B9">
            <w:pPr>
              <w:widowControl w:val="0"/>
              <w:kinsoku/>
              <w:autoSpaceDE/>
              <w:autoSpaceDN/>
              <w:adjustRightInd/>
              <w:snapToGrid/>
              <w:spacing w:before="186" w:line="334" w:lineRule="auto"/>
              <w:ind w:left="184" w:right="161" w:hanging="9"/>
              <w:jc w:val="both"/>
              <w:textAlignment w:val="auto"/>
              <w:rPr>
                <w:rFonts w:ascii="仿宋" w:hAnsi="仿宋" w:eastAsia="仿宋" w:cs="仿宋"/>
                <w:snapToGrid/>
                <w:color w:val="auto"/>
                <w:spacing w:val="-7"/>
                <w:kern w:val="2"/>
                <w:sz w:val="32"/>
                <w:szCs w:val="32"/>
                <w:lang w:eastAsia="zh-CN"/>
              </w:rPr>
            </w:pPr>
          </w:p>
        </w:tc>
      </w:tr>
      <w:tr w14:paraId="3CBA3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2341" w:type="dxa"/>
            <w:shd w:val="clear" w:color="auto" w:fill="FFFFFF"/>
          </w:tcPr>
          <w:p w14:paraId="3CF40F1E">
            <w:pPr>
              <w:widowControl w:val="0"/>
              <w:kinsoku/>
              <w:autoSpaceDE/>
              <w:autoSpaceDN/>
              <w:adjustRightInd/>
              <w:snapToGrid/>
              <w:spacing w:before="192" w:line="183" w:lineRule="auto"/>
              <w:jc w:val="center"/>
              <w:textAlignment w:val="auto"/>
              <w:rPr>
                <w:rFonts w:ascii="仿宋" w:hAnsi="仿宋" w:eastAsia="仿宋" w:cs="仿宋"/>
                <w:snapToGrid/>
                <w:color w:val="auto"/>
                <w:kern w:val="2"/>
                <w:sz w:val="32"/>
                <w:szCs w:val="32"/>
                <w:lang w:eastAsia="zh-CN"/>
              </w:rPr>
            </w:pPr>
            <w:r>
              <w:rPr>
                <w:rFonts w:ascii="仿宋" w:hAnsi="仿宋" w:eastAsia="仿宋" w:cs="仿宋"/>
                <w:snapToGrid/>
                <w:color w:val="auto"/>
                <w:spacing w:val="-31"/>
                <w:kern w:val="2"/>
                <w:sz w:val="32"/>
                <w:szCs w:val="32"/>
                <w:lang w:eastAsia="zh-CN"/>
              </w:rPr>
              <w:t>巴松</w:t>
            </w:r>
          </w:p>
        </w:tc>
        <w:tc>
          <w:tcPr>
            <w:tcW w:w="1951" w:type="dxa"/>
            <w:vMerge w:val="restart"/>
            <w:shd w:val="clear" w:color="auto" w:fill="FFFFFF"/>
          </w:tcPr>
          <w:p w14:paraId="45336620">
            <w:pPr>
              <w:widowControl w:val="0"/>
              <w:kinsoku/>
              <w:autoSpaceDE/>
              <w:autoSpaceDN/>
              <w:adjustRightInd/>
              <w:snapToGrid/>
              <w:spacing w:before="186" w:line="334" w:lineRule="auto"/>
              <w:ind w:left="184" w:right="161" w:hanging="9"/>
              <w:jc w:val="center"/>
              <w:textAlignment w:val="auto"/>
              <w:rPr>
                <w:rFonts w:ascii="仿宋" w:hAnsi="仿宋" w:eastAsia="仿宋" w:cs="仿宋"/>
                <w:snapToGrid/>
                <w:color w:val="auto"/>
                <w:spacing w:val="-7"/>
                <w:kern w:val="2"/>
                <w:sz w:val="32"/>
                <w:szCs w:val="32"/>
                <w:lang w:eastAsia="zh-CN"/>
              </w:rPr>
            </w:pPr>
          </w:p>
          <w:p w14:paraId="5BB63F9D">
            <w:pPr>
              <w:widowControl w:val="0"/>
              <w:kinsoku/>
              <w:autoSpaceDE/>
              <w:autoSpaceDN/>
              <w:adjustRightInd/>
              <w:snapToGrid/>
              <w:spacing w:before="186" w:line="334" w:lineRule="auto"/>
              <w:ind w:left="184" w:right="161" w:hanging="9"/>
              <w:jc w:val="center"/>
              <w:textAlignment w:val="auto"/>
              <w:rPr>
                <w:rFonts w:ascii="仿宋" w:hAnsi="仿宋" w:eastAsia="仿宋" w:cs="仿宋"/>
                <w:snapToGrid/>
                <w:color w:val="auto"/>
                <w:spacing w:val="-7"/>
                <w:kern w:val="2"/>
                <w:sz w:val="32"/>
                <w:szCs w:val="32"/>
                <w:lang w:eastAsia="zh-CN"/>
              </w:rPr>
            </w:pPr>
            <w:r>
              <w:rPr>
                <w:rFonts w:ascii="仿宋" w:hAnsi="仿宋" w:eastAsia="仿宋" w:cs="仿宋"/>
                <w:snapToGrid/>
                <w:color w:val="auto"/>
                <w:spacing w:val="-7"/>
                <w:kern w:val="2"/>
                <w:sz w:val="32"/>
                <w:szCs w:val="32"/>
                <w:lang w:eastAsia="zh-CN"/>
              </w:rPr>
              <w:t>8</w:t>
            </w:r>
          </w:p>
        </w:tc>
        <w:tc>
          <w:tcPr>
            <w:tcW w:w="4569" w:type="dxa"/>
            <w:vMerge w:val="restart"/>
            <w:shd w:val="clear" w:color="auto" w:fill="FFFFFF"/>
          </w:tcPr>
          <w:p w14:paraId="1575E5E1">
            <w:pPr>
              <w:widowControl w:val="0"/>
              <w:kinsoku/>
              <w:autoSpaceDE/>
              <w:autoSpaceDN/>
              <w:adjustRightInd/>
              <w:snapToGrid/>
              <w:spacing w:before="186" w:after="240" w:line="334" w:lineRule="auto"/>
              <w:ind w:right="161"/>
              <w:jc w:val="both"/>
              <w:textAlignment w:val="auto"/>
              <w:rPr>
                <w:rFonts w:ascii="仿宋" w:hAnsi="仿宋" w:eastAsia="仿宋" w:cs="仿宋"/>
                <w:snapToGrid/>
                <w:color w:val="auto"/>
                <w:spacing w:val="-7"/>
                <w:kern w:val="2"/>
                <w:sz w:val="32"/>
                <w:szCs w:val="32"/>
                <w:lang w:eastAsia="zh-CN"/>
              </w:rPr>
            </w:pPr>
            <w:r>
              <w:rPr>
                <w:rFonts w:ascii="仿宋" w:hAnsi="仿宋" w:eastAsia="仿宋" w:cs="仿宋"/>
                <w:snapToGrid/>
                <w:color w:val="auto"/>
                <w:spacing w:val="-7"/>
                <w:kern w:val="2"/>
                <w:sz w:val="32"/>
                <w:szCs w:val="32"/>
                <w:lang w:eastAsia="zh-CN"/>
              </w:rPr>
              <w:t>巴松1人，</w:t>
            </w:r>
            <w:r>
              <w:rPr>
                <w:rFonts w:hint="eastAsia" w:ascii="仿宋" w:hAnsi="仿宋" w:eastAsia="仿宋" w:cs="仿宋"/>
                <w:snapToGrid/>
                <w:color w:val="auto"/>
                <w:spacing w:val="-7"/>
                <w:kern w:val="2"/>
                <w:sz w:val="32"/>
                <w:szCs w:val="32"/>
                <w:lang w:eastAsia="zh-CN"/>
              </w:rPr>
              <w:t>中提琴2</w:t>
            </w:r>
            <w:r>
              <w:rPr>
                <w:rFonts w:ascii="仿宋" w:hAnsi="仿宋" w:eastAsia="仿宋" w:cs="仿宋"/>
                <w:snapToGrid/>
                <w:color w:val="auto"/>
                <w:spacing w:val="-7"/>
                <w:kern w:val="2"/>
                <w:sz w:val="32"/>
                <w:szCs w:val="32"/>
                <w:lang w:eastAsia="zh-CN"/>
              </w:rPr>
              <w:t>人</w:t>
            </w:r>
            <w:r>
              <w:rPr>
                <w:rFonts w:hint="eastAsia" w:ascii="仿宋" w:hAnsi="仿宋" w:eastAsia="仿宋" w:cs="仿宋"/>
                <w:snapToGrid/>
                <w:color w:val="auto"/>
                <w:spacing w:val="-7"/>
                <w:kern w:val="2"/>
                <w:sz w:val="32"/>
                <w:szCs w:val="32"/>
                <w:lang w:eastAsia="zh-CN"/>
              </w:rPr>
              <w:t>，</w:t>
            </w:r>
            <w:r>
              <w:rPr>
                <w:rFonts w:ascii="仿宋" w:hAnsi="仿宋" w:eastAsia="仿宋" w:cs="仿宋"/>
                <w:snapToGrid/>
                <w:color w:val="auto"/>
                <w:spacing w:val="-7"/>
                <w:kern w:val="2"/>
                <w:sz w:val="32"/>
                <w:szCs w:val="32"/>
                <w:lang w:eastAsia="zh-CN"/>
              </w:rPr>
              <w:t>若无专业合格，计划数并入</w:t>
            </w:r>
            <w:r>
              <w:rPr>
                <w:rFonts w:hint="eastAsia" w:ascii="仿宋" w:hAnsi="仿宋" w:eastAsia="仿宋" w:cs="仿宋"/>
                <w:snapToGrid/>
                <w:color w:val="auto"/>
                <w:spacing w:val="-7"/>
                <w:kern w:val="2"/>
                <w:sz w:val="32"/>
                <w:szCs w:val="32"/>
                <w:lang w:eastAsia="zh-CN"/>
              </w:rPr>
              <w:t>小提琴</w:t>
            </w:r>
            <w:r>
              <w:rPr>
                <w:rFonts w:ascii="仿宋" w:hAnsi="仿宋" w:eastAsia="仿宋" w:cs="仿宋"/>
                <w:snapToGrid/>
                <w:color w:val="auto"/>
                <w:spacing w:val="-7"/>
                <w:kern w:val="2"/>
                <w:sz w:val="32"/>
                <w:szCs w:val="32"/>
                <w:lang w:eastAsia="zh-CN"/>
              </w:rPr>
              <w:t>。</w:t>
            </w:r>
          </w:p>
        </w:tc>
      </w:tr>
      <w:tr w14:paraId="1DD8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2341" w:type="dxa"/>
            <w:shd w:val="clear" w:color="auto" w:fill="FFFFFF"/>
          </w:tcPr>
          <w:p w14:paraId="47E51223">
            <w:pPr>
              <w:widowControl w:val="0"/>
              <w:kinsoku/>
              <w:autoSpaceDE/>
              <w:autoSpaceDN/>
              <w:adjustRightInd/>
              <w:snapToGrid/>
              <w:spacing w:before="196" w:line="183" w:lineRule="auto"/>
              <w:jc w:val="center"/>
              <w:textAlignment w:val="auto"/>
              <w:rPr>
                <w:rFonts w:ascii="仿宋" w:hAnsi="仿宋" w:eastAsia="仿宋" w:cs="仿宋"/>
                <w:snapToGrid/>
                <w:color w:val="auto"/>
                <w:kern w:val="2"/>
                <w:sz w:val="32"/>
                <w:szCs w:val="32"/>
                <w:lang w:eastAsia="zh-CN"/>
              </w:rPr>
            </w:pPr>
            <w:r>
              <w:rPr>
                <w:rFonts w:ascii="仿宋" w:hAnsi="仿宋" w:eastAsia="仿宋" w:cs="仿宋"/>
                <w:snapToGrid/>
                <w:color w:val="auto"/>
                <w:spacing w:val="-6"/>
                <w:kern w:val="2"/>
                <w:sz w:val="32"/>
                <w:szCs w:val="32"/>
                <w:lang w:eastAsia="zh-CN"/>
              </w:rPr>
              <w:t>小提琴</w:t>
            </w:r>
          </w:p>
        </w:tc>
        <w:tc>
          <w:tcPr>
            <w:tcW w:w="1951" w:type="dxa"/>
            <w:vMerge w:val="continue"/>
            <w:shd w:val="clear" w:color="auto" w:fill="FFFFFF"/>
          </w:tcPr>
          <w:p w14:paraId="18323E29">
            <w:pPr>
              <w:widowControl w:val="0"/>
              <w:kinsoku/>
              <w:autoSpaceDE/>
              <w:autoSpaceDN/>
              <w:adjustRightInd/>
              <w:snapToGrid/>
              <w:spacing w:before="248" w:line="180" w:lineRule="auto"/>
              <w:ind w:firstLine="758"/>
              <w:jc w:val="center"/>
              <w:textAlignment w:val="auto"/>
              <w:rPr>
                <w:rFonts w:ascii="Times New Roman" w:hAnsi="Times New Roman" w:eastAsia="Times New Roman" w:cs="Times New Roman"/>
                <w:snapToGrid/>
                <w:color w:val="auto"/>
                <w:kern w:val="2"/>
                <w:sz w:val="32"/>
                <w:szCs w:val="32"/>
                <w:lang w:eastAsia="zh-CN"/>
              </w:rPr>
            </w:pPr>
          </w:p>
        </w:tc>
        <w:tc>
          <w:tcPr>
            <w:tcW w:w="4569" w:type="dxa"/>
            <w:vMerge w:val="continue"/>
            <w:shd w:val="clear" w:color="auto" w:fill="FFFFFF"/>
          </w:tcPr>
          <w:p w14:paraId="4F4F37C0">
            <w:pPr>
              <w:widowControl w:val="0"/>
              <w:kinsoku/>
              <w:autoSpaceDE/>
              <w:autoSpaceDN/>
              <w:adjustRightInd/>
              <w:snapToGrid/>
              <w:jc w:val="both"/>
              <w:textAlignment w:val="auto"/>
              <w:rPr>
                <w:rFonts w:ascii="Malgun Gothic" w:hAnsi="Calibri" w:eastAsia="Times New Roman" w:cs="Times New Roman"/>
                <w:snapToGrid/>
                <w:color w:val="auto"/>
                <w:kern w:val="2"/>
                <w:szCs w:val="24"/>
                <w:lang w:eastAsia="zh-CN"/>
              </w:rPr>
            </w:pPr>
          </w:p>
        </w:tc>
      </w:tr>
      <w:tr w14:paraId="3511B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2341" w:type="dxa"/>
            <w:shd w:val="clear" w:color="auto" w:fill="FFFFFF"/>
          </w:tcPr>
          <w:p w14:paraId="7FD881A8">
            <w:pPr>
              <w:widowControl w:val="0"/>
              <w:kinsoku/>
              <w:autoSpaceDE/>
              <w:autoSpaceDN/>
              <w:adjustRightInd/>
              <w:snapToGrid/>
              <w:spacing w:before="196" w:line="183" w:lineRule="auto"/>
              <w:jc w:val="center"/>
              <w:textAlignment w:val="auto"/>
              <w:rPr>
                <w:rFonts w:ascii="仿宋" w:hAnsi="仿宋" w:eastAsia="仿宋" w:cs="仿宋"/>
                <w:snapToGrid/>
                <w:color w:val="auto"/>
                <w:spacing w:val="-6"/>
                <w:kern w:val="2"/>
                <w:sz w:val="32"/>
                <w:szCs w:val="32"/>
                <w:lang w:eastAsia="zh-CN"/>
              </w:rPr>
            </w:pPr>
            <w:r>
              <w:rPr>
                <w:rFonts w:hint="eastAsia" w:ascii="仿宋" w:hAnsi="仿宋" w:eastAsia="仿宋" w:cs="仿宋"/>
                <w:snapToGrid/>
                <w:color w:val="auto"/>
                <w:spacing w:val="-6"/>
                <w:kern w:val="2"/>
                <w:sz w:val="32"/>
                <w:szCs w:val="32"/>
                <w:lang w:eastAsia="zh-CN"/>
              </w:rPr>
              <w:t>中提琴</w:t>
            </w:r>
          </w:p>
        </w:tc>
        <w:tc>
          <w:tcPr>
            <w:tcW w:w="1951" w:type="dxa"/>
            <w:vMerge w:val="continue"/>
            <w:shd w:val="clear" w:color="auto" w:fill="FFFFFF"/>
          </w:tcPr>
          <w:p w14:paraId="63241548">
            <w:pPr>
              <w:widowControl w:val="0"/>
              <w:kinsoku/>
              <w:autoSpaceDE/>
              <w:autoSpaceDN/>
              <w:adjustRightInd/>
              <w:snapToGrid/>
              <w:spacing w:before="248" w:line="180" w:lineRule="auto"/>
              <w:ind w:firstLine="758"/>
              <w:jc w:val="center"/>
              <w:textAlignment w:val="auto"/>
              <w:rPr>
                <w:rFonts w:ascii="Times New Roman" w:hAnsi="Times New Roman" w:eastAsia="Times New Roman" w:cs="Times New Roman"/>
                <w:snapToGrid/>
                <w:color w:val="auto"/>
                <w:kern w:val="2"/>
                <w:sz w:val="32"/>
                <w:szCs w:val="32"/>
                <w:lang w:eastAsia="zh-CN"/>
              </w:rPr>
            </w:pPr>
          </w:p>
        </w:tc>
        <w:tc>
          <w:tcPr>
            <w:tcW w:w="4569" w:type="dxa"/>
            <w:vMerge w:val="continue"/>
            <w:shd w:val="clear" w:color="auto" w:fill="FFFFFF"/>
          </w:tcPr>
          <w:p w14:paraId="6D19BB27">
            <w:pPr>
              <w:widowControl w:val="0"/>
              <w:kinsoku/>
              <w:autoSpaceDE/>
              <w:autoSpaceDN/>
              <w:adjustRightInd/>
              <w:snapToGrid/>
              <w:jc w:val="both"/>
              <w:textAlignment w:val="auto"/>
              <w:rPr>
                <w:rFonts w:ascii="Malgun Gothic" w:hAnsi="Calibri" w:eastAsia="Times New Roman" w:cs="Times New Roman"/>
                <w:snapToGrid/>
                <w:color w:val="auto"/>
                <w:kern w:val="2"/>
                <w:szCs w:val="24"/>
                <w:lang w:eastAsia="zh-CN"/>
              </w:rPr>
            </w:pPr>
          </w:p>
        </w:tc>
      </w:tr>
      <w:tr w14:paraId="5CAD6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2341" w:type="dxa"/>
            <w:shd w:val="clear" w:color="auto" w:fill="FFFFFF"/>
          </w:tcPr>
          <w:p w14:paraId="5A5A5858">
            <w:pPr>
              <w:widowControl w:val="0"/>
              <w:kinsoku/>
              <w:autoSpaceDE/>
              <w:autoSpaceDN/>
              <w:adjustRightInd/>
              <w:snapToGrid/>
              <w:spacing w:before="198" w:line="183" w:lineRule="auto"/>
              <w:jc w:val="center"/>
              <w:textAlignment w:val="auto"/>
              <w:rPr>
                <w:rFonts w:ascii="仿宋" w:hAnsi="仿宋" w:eastAsia="仿宋" w:cs="仿宋"/>
                <w:snapToGrid/>
                <w:color w:val="auto"/>
                <w:kern w:val="2"/>
                <w:sz w:val="32"/>
                <w:szCs w:val="32"/>
                <w:lang w:eastAsia="zh-CN"/>
              </w:rPr>
            </w:pPr>
            <w:r>
              <w:rPr>
                <w:rFonts w:ascii="仿宋" w:hAnsi="仿宋" w:eastAsia="仿宋" w:cs="仿宋"/>
                <w:snapToGrid/>
                <w:color w:val="auto"/>
                <w:spacing w:val="-9"/>
                <w:kern w:val="2"/>
                <w:sz w:val="32"/>
                <w:szCs w:val="32"/>
                <w:lang w:eastAsia="zh-CN"/>
              </w:rPr>
              <w:t>大提琴</w:t>
            </w:r>
          </w:p>
        </w:tc>
        <w:tc>
          <w:tcPr>
            <w:tcW w:w="1951" w:type="dxa"/>
            <w:vMerge w:val="restart"/>
            <w:shd w:val="clear" w:color="auto" w:fill="FFFFFF"/>
          </w:tcPr>
          <w:p w14:paraId="7E625DA8">
            <w:pPr>
              <w:widowControl w:val="0"/>
              <w:kinsoku/>
              <w:autoSpaceDE/>
              <w:autoSpaceDN/>
              <w:adjustRightInd/>
              <w:snapToGrid/>
              <w:spacing w:before="248" w:line="180" w:lineRule="auto"/>
              <w:ind w:firstLine="960" w:firstLineChars="300"/>
              <w:jc w:val="both"/>
              <w:textAlignment w:val="auto"/>
              <w:rPr>
                <w:rFonts w:ascii="Times New Roman" w:hAnsi="Times New Roman" w:eastAsia="Times New Roman" w:cs="Times New Roman"/>
                <w:snapToGrid/>
                <w:color w:val="auto"/>
                <w:kern w:val="2"/>
                <w:sz w:val="32"/>
                <w:szCs w:val="32"/>
                <w:lang w:eastAsia="zh-CN"/>
              </w:rPr>
            </w:pPr>
            <w:r>
              <w:rPr>
                <w:rFonts w:ascii="Times New Roman" w:hAnsi="Times New Roman" w:eastAsia="Times New Roman" w:cs="Times New Roman"/>
                <w:snapToGrid/>
                <w:color w:val="auto"/>
                <w:kern w:val="2"/>
                <w:sz w:val="32"/>
                <w:szCs w:val="32"/>
                <w:lang w:eastAsia="zh-CN"/>
              </w:rPr>
              <w:t>4</w:t>
            </w:r>
          </w:p>
        </w:tc>
        <w:tc>
          <w:tcPr>
            <w:tcW w:w="4569" w:type="dxa"/>
            <w:vMerge w:val="restart"/>
            <w:shd w:val="clear" w:color="auto" w:fill="FFFFFF"/>
          </w:tcPr>
          <w:p w14:paraId="72101A3E">
            <w:pPr>
              <w:widowControl w:val="0"/>
              <w:kinsoku/>
              <w:autoSpaceDE/>
              <w:autoSpaceDN/>
              <w:adjustRightInd/>
              <w:snapToGrid/>
              <w:spacing w:before="200" w:line="258" w:lineRule="auto"/>
              <w:ind w:right="404"/>
              <w:jc w:val="both"/>
              <w:textAlignment w:val="auto"/>
              <w:rPr>
                <w:rFonts w:ascii="仿宋" w:hAnsi="仿宋" w:eastAsia="仿宋" w:cs="仿宋"/>
                <w:snapToGrid/>
                <w:color w:val="auto"/>
                <w:kern w:val="2"/>
                <w:sz w:val="32"/>
                <w:szCs w:val="32"/>
                <w:lang w:eastAsia="zh-CN"/>
              </w:rPr>
            </w:pPr>
            <w:r>
              <w:rPr>
                <w:rFonts w:ascii="仿宋" w:hAnsi="仿宋" w:eastAsia="仿宋" w:cs="仿宋"/>
                <w:snapToGrid/>
                <w:color w:val="auto"/>
                <w:spacing w:val="-1"/>
                <w:kern w:val="2"/>
                <w:sz w:val="32"/>
                <w:szCs w:val="32"/>
                <w:lang w:eastAsia="zh-CN"/>
              </w:rPr>
              <w:t>低音提琴</w:t>
            </w:r>
            <w:r>
              <w:rPr>
                <w:rFonts w:hint="eastAsia" w:cs="Times New Roman" w:asciiTheme="minorEastAsia" w:hAnsiTheme="minorEastAsia" w:eastAsiaTheme="minorEastAsia"/>
                <w:snapToGrid/>
                <w:color w:val="auto"/>
                <w:spacing w:val="-1"/>
                <w:kern w:val="2"/>
                <w:sz w:val="32"/>
                <w:szCs w:val="32"/>
                <w:lang w:eastAsia="zh-CN"/>
              </w:rPr>
              <w:t>2</w:t>
            </w:r>
            <w:r>
              <w:rPr>
                <w:rFonts w:ascii="仿宋" w:hAnsi="仿宋" w:eastAsia="仿宋" w:cs="仿宋"/>
                <w:snapToGrid/>
                <w:color w:val="auto"/>
                <w:spacing w:val="-1"/>
                <w:kern w:val="2"/>
                <w:sz w:val="32"/>
                <w:szCs w:val="32"/>
                <w:lang w:eastAsia="zh-CN"/>
              </w:rPr>
              <w:t>人，若无专业合</w:t>
            </w:r>
            <w:r>
              <w:rPr>
                <w:rFonts w:ascii="仿宋" w:hAnsi="仿宋" w:eastAsia="仿宋" w:cs="仿宋"/>
                <w:snapToGrid/>
                <w:color w:val="auto"/>
                <w:spacing w:val="-2"/>
                <w:kern w:val="2"/>
                <w:sz w:val="32"/>
                <w:szCs w:val="32"/>
                <w:lang w:eastAsia="zh-CN"/>
              </w:rPr>
              <w:t>格，计划数并入大提琴。</w:t>
            </w:r>
          </w:p>
        </w:tc>
      </w:tr>
      <w:tr w14:paraId="52B5B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1" w:hRule="atLeast"/>
        </w:trPr>
        <w:tc>
          <w:tcPr>
            <w:tcW w:w="2341" w:type="dxa"/>
            <w:shd w:val="clear" w:color="auto" w:fill="FFFFFF"/>
          </w:tcPr>
          <w:p w14:paraId="344E52DA">
            <w:pPr>
              <w:widowControl w:val="0"/>
              <w:kinsoku/>
              <w:autoSpaceDE/>
              <w:autoSpaceDN/>
              <w:adjustRightInd/>
              <w:snapToGrid/>
              <w:spacing w:before="200" w:line="183" w:lineRule="auto"/>
              <w:jc w:val="center"/>
              <w:textAlignment w:val="auto"/>
              <w:rPr>
                <w:rFonts w:ascii="仿宋" w:hAnsi="仿宋" w:eastAsia="仿宋" w:cs="仿宋"/>
                <w:snapToGrid/>
                <w:color w:val="auto"/>
                <w:kern w:val="2"/>
                <w:sz w:val="32"/>
                <w:szCs w:val="32"/>
                <w:lang w:eastAsia="zh-CN"/>
              </w:rPr>
            </w:pPr>
            <w:r>
              <w:rPr>
                <w:rFonts w:ascii="仿宋" w:hAnsi="仿宋" w:eastAsia="仿宋" w:cs="仿宋"/>
                <w:snapToGrid/>
                <w:color w:val="auto"/>
                <w:spacing w:val="-3"/>
                <w:kern w:val="2"/>
                <w:sz w:val="32"/>
                <w:szCs w:val="32"/>
                <w:lang w:eastAsia="zh-CN"/>
              </w:rPr>
              <w:t>低音提琴</w:t>
            </w:r>
          </w:p>
        </w:tc>
        <w:tc>
          <w:tcPr>
            <w:tcW w:w="1951" w:type="dxa"/>
            <w:vMerge w:val="continue"/>
            <w:shd w:val="clear" w:color="auto" w:fill="FFFFFF"/>
          </w:tcPr>
          <w:p w14:paraId="678DAFB5">
            <w:pPr>
              <w:widowControl w:val="0"/>
              <w:kinsoku/>
              <w:autoSpaceDE/>
              <w:autoSpaceDN/>
              <w:adjustRightInd/>
              <w:snapToGrid/>
              <w:spacing w:before="248" w:line="180" w:lineRule="auto"/>
              <w:ind w:firstLine="758"/>
              <w:jc w:val="both"/>
              <w:textAlignment w:val="auto"/>
              <w:rPr>
                <w:rFonts w:ascii="Times New Roman" w:hAnsi="Times New Roman" w:eastAsia="Times New Roman" w:cs="Times New Roman"/>
                <w:snapToGrid/>
                <w:color w:val="auto"/>
                <w:kern w:val="2"/>
                <w:sz w:val="32"/>
                <w:szCs w:val="32"/>
                <w:lang w:eastAsia="zh-CN"/>
              </w:rPr>
            </w:pPr>
          </w:p>
        </w:tc>
        <w:tc>
          <w:tcPr>
            <w:tcW w:w="4569" w:type="dxa"/>
            <w:vMerge w:val="continue"/>
            <w:shd w:val="clear" w:color="auto" w:fill="FFFFFF"/>
          </w:tcPr>
          <w:p w14:paraId="15DAAFB6">
            <w:pPr>
              <w:widowControl w:val="0"/>
              <w:kinsoku/>
              <w:autoSpaceDE/>
              <w:autoSpaceDN/>
              <w:adjustRightInd/>
              <w:snapToGrid/>
              <w:jc w:val="both"/>
              <w:textAlignment w:val="auto"/>
              <w:rPr>
                <w:rFonts w:ascii="Malgun Gothic" w:hAnsi="Calibri" w:eastAsia="Times New Roman" w:cs="Times New Roman"/>
                <w:snapToGrid/>
                <w:color w:val="auto"/>
                <w:kern w:val="2"/>
                <w:szCs w:val="24"/>
                <w:lang w:eastAsia="zh-CN"/>
              </w:rPr>
            </w:pPr>
          </w:p>
        </w:tc>
      </w:tr>
    </w:tbl>
    <w:p w14:paraId="708E2A28">
      <w:pPr>
        <w:widowControl w:val="0"/>
        <w:kinsoku/>
        <w:autoSpaceDE/>
        <w:autoSpaceDN/>
        <w:adjustRightInd/>
        <w:snapToGrid/>
        <w:spacing w:line="188" w:lineRule="exact"/>
        <w:jc w:val="both"/>
        <w:textAlignment w:val="auto"/>
        <w:rPr>
          <w:rFonts w:ascii="仿宋_GB2312" w:hAnsi="仿宋_GB2312" w:eastAsia="仿宋_GB2312" w:cs="仿宋_GB2312"/>
          <w:snapToGrid/>
          <w:color w:val="auto"/>
          <w:kern w:val="2"/>
          <w:sz w:val="32"/>
          <w:szCs w:val="32"/>
          <w:lang w:eastAsia="zh-CN"/>
        </w:rPr>
      </w:pPr>
    </w:p>
    <w:p w14:paraId="04CD754B">
      <w:pPr>
        <w:widowControl w:val="0"/>
        <w:kinsoku/>
        <w:autoSpaceDE/>
        <w:autoSpaceDN/>
        <w:adjustRightInd/>
        <w:snapToGrid/>
        <w:ind w:firstLine="643" w:firstLineChars="200"/>
        <w:jc w:val="both"/>
        <w:textAlignment w:val="auto"/>
        <w:rPr>
          <w:rFonts w:ascii="仿宋_GB2312" w:hAnsi="仿宋_GB2312" w:eastAsia="仿宋_GB2312" w:cs="仿宋_GB2312"/>
          <w:b/>
          <w:snapToGrid/>
          <w:color w:val="auto"/>
          <w:kern w:val="2"/>
          <w:sz w:val="32"/>
          <w:szCs w:val="32"/>
          <w:shd w:val="clear" w:color="auto" w:fill="FFFFFF"/>
          <w:lang w:eastAsia="zh-CN"/>
        </w:rPr>
      </w:pPr>
      <w:r>
        <w:rPr>
          <w:rFonts w:hint="eastAsia" w:ascii="仿宋_GB2312" w:hAnsi="仿宋_GB2312" w:eastAsia="仿宋_GB2312" w:cs="仿宋_GB2312"/>
          <w:b/>
          <w:snapToGrid/>
          <w:color w:val="auto"/>
          <w:kern w:val="2"/>
          <w:sz w:val="32"/>
          <w:szCs w:val="32"/>
          <w:shd w:val="clear" w:color="auto" w:fill="FFFFFF"/>
          <w:lang w:eastAsia="zh-CN"/>
        </w:rPr>
        <w:t>2</w:t>
      </w:r>
      <w:r>
        <w:rPr>
          <w:rFonts w:ascii="仿宋_GB2312" w:hAnsi="仿宋_GB2312" w:eastAsia="仿宋_GB2312" w:cs="仿宋_GB2312"/>
          <w:b/>
          <w:snapToGrid/>
          <w:color w:val="auto"/>
          <w:kern w:val="2"/>
          <w:sz w:val="32"/>
          <w:szCs w:val="32"/>
          <w:shd w:val="clear" w:color="auto" w:fill="FFFFFF"/>
          <w:lang w:eastAsia="zh-CN"/>
        </w:rPr>
        <w:t>.</w:t>
      </w:r>
      <w:r>
        <w:rPr>
          <w:rFonts w:hint="eastAsia" w:ascii="仿宋_GB2312" w:hAnsi="仿宋_GB2312" w:eastAsia="仿宋_GB2312" w:cs="仿宋_GB2312"/>
          <w:b/>
          <w:snapToGrid/>
          <w:color w:val="auto"/>
          <w:kern w:val="2"/>
          <w:sz w:val="32"/>
          <w:szCs w:val="32"/>
          <w:shd w:val="clear" w:color="auto" w:fill="FFFFFF"/>
          <w:lang w:eastAsia="zh-CN"/>
        </w:rPr>
        <w:t>声乐</w:t>
      </w:r>
      <w:r>
        <w:rPr>
          <w:rFonts w:ascii="仿宋_GB2312" w:hAnsi="仿宋_GB2312" w:eastAsia="仿宋_GB2312" w:cs="仿宋_GB2312"/>
          <w:b/>
          <w:snapToGrid/>
          <w:color w:val="auto"/>
          <w:kern w:val="2"/>
          <w:sz w:val="32"/>
          <w:szCs w:val="32"/>
          <w:shd w:val="clear" w:color="auto" w:fill="FFFFFF"/>
          <w:lang w:eastAsia="zh-CN"/>
        </w:rPr>
        <w:t>8</w:t>
      </w:r>
      <w:r>
        <w:rPr>
          <w:rFonts w:hint="eastAsia" w:ascii="仿宋_GB2312" w:hAnsi="仿宋_GB2312" w:eastAsia="仿宋_GB2312" w:cs="仿宋_GB2312"/>
          <w:b/>
          <w:snapToGrid/>
          <w:color w:val="auto"/>
          <w:kern w:val="2"/>
          <w:sz w:val="32"/>
          <w:szCs w:val="32"/>
          <w:shd w:val="clear" w:color="auto" w:fill="FFFFFF"/>
          <w:lang w:eastAsia="zh-CN"/>
        </w:rPr>
        <w:t>人。</w:t>
      </w:r>
    </w:p>
    <w:p w14:paraId="69F67C66">
      <w:pPr>
        <w:adjustRightInd/>
        <w:snapToGrid/>
        <w:spacing w:line="578" w:lineRule="exact"/>
        <w:ind w:firstLine="668" w:firstLineChars="200"/>
        <w:rPr>
          <w:rFonts w:ascii="黑体" w:hAnsi="黑体" w:eastAsia="黑体" w:cs="黑体"/>
          <w:color w:val="auto"/>
          <w:spacing w:val="7"/>
          <w:sz w:val="32"/>
          <w:szCs w:val="32"/>
          <w:lang w:eastAsia="zh-CN"/>
        </w:rPr>
      </w:pPr>
      <w:r>
        <w:rPr>
          <w:rFonts w:hint="eastAsia" w:ascii="黑体" w:hAnsi="黑体" w:eastAsia="黑体" w:cs="黑体"/>
          <w:color w:val="auto"/>
          <w:spacing w:val="7"/>
          <w:sz w:val="32"/>
          <w:szCs w:val="32"/>
          <w:lang w:eastAsia="zh-CN"/>
        </w:rPr>
        <w:t>二、招生范围</w:t>
      </w:r>
    </w:p>
    <w:p w14:paraId="3B6A2C28">
      <w:pPr>
        <w:pStyle w:val="2"/>
        <w:adjustRightInd/>
        <w:snapToGrid/>
        <w:spacing w:line="578" w:lineRule="exact"/>
        <w:ind w:firstLine="680" w:firstLineChars="200"/>
        <w:rPr>
          <w:rFonts w:ascii="仿宋_GB2312" w:hAnsi="仿宋_GB2312" w:eastAsia="仿宋_GB2312" w:cs="仿宋_GB2312"/>
          <w:color w:val="auto"/>
          <w:spacing w:val="10"/>
          <w:sz w:val="32"/>
          <w:szCs w:val="32"/>
          <w:lang w:eastAsia="zh-CN"/>
        </w:rPr>
      </w:pPr>
      <w:r>
        <w:rPr>
          <w:rFonts w:hint="eastAsia" w:ascii="仿宋_GB2312" w:hAnsi="仿宋_GB2312" w:eastAsia="仿宋_GB2312" w:cs="仿宋_GB2312"/>
          <w:color w:val="auto"/>
          <w:spacing w:val="10"/>
          <w:sz w:val="32"/>
          <w:szCs w:val="32"/>
          <w:lang w:eastAsia="zh-CN"/>
        </w:rPr>
        <w:t>我校特长生招生对象为中心城区（含环翠区、高区、经区、临港区）范围内的应届初中毕业生。</w:t>
      </w:r>
    </w:p>
    <w:p w14:paraId="7F1F1EA6">
      <w:pPr>
        <w:adjustRightInd/>
        <w:snapToGrid/>
        <w:spacing w:line="578" w:lineRule="exact"/>
        <w:ind w:firstLine="668" w:firstLineChars="200"/>
        <w:rPr>
          <w:rFonts w:ascii="黑体" w:hAnsi="黑体" w:eastAsia="黑体" w:cs="黑体"/>
          <w:color w:val="auto"/>
          <w:spacing w:val="7"/>
          <w:sz w:val="32"/>
          <w:szCs w:val="32"/>
          <w:lang w:eastAsia="zh-CN"/>
        </w:rPr>
      </w:pPr>
      <w:r>
        <w:rPr>
          <w:rFonts w:hint="eastAsia" w:ascii="黑体" w:hAnsi="黑体" w:eastAsia="黑体" w:cs="黑体"/>
          <w:color w:val="auto"/>
          <w:spacing w:val="7"/>
          <w:sz w:val="32"/>
          <w:szCs w:val="32"/>
          <w:lang w:eastAsia="zh-CN"/>
        </w:rPr>
        <w:t>三、报名</w:t>
      </w:r>
    </w:p>
    <w:p w14:paraId="1D70228B">
      <w:pPr>
        <w:pStyle w:val="2"/>
        <w:wordWrap w:val="0"/>
        <w:autoSpaceDE/>
        <w:autoSpaceDN/>
        <w:adjustRightInd/>
        <w:snapToGrid/>
        <w:spacing w:line="578" w:lineRule="exact"/>
        <w:ind w:firstLine="640" w:firstLineChars="200"/>
        <w:rPr>
          <w:rFonts w:ascii="仿宋_GB2312" w:hAnsi="仿宋_GB2312" w:eastAsia="仿宋_GB2312" w:cs="仿宋_GB2312"/>
          <w:color w:val="auto"/>
          <w:spacing w:val="10"/>
          <w:sz w:val="32"/>
          <w:szCs w:val="32"/>
          <w:lang w:eastAsia="zh-CN"/>
        </w:rPr>
      </w:pPr>
      <w:r>
        <w:rPr>
          <w:rFonts w:hint="eastAsia" w:ascii="仿宋_GB2312" w:hAnsi="仿宋_GB2312" w:eastAsia="仿宋_GB2312" w:cs="仿宋_GB2312"/>
          <w:color w:val="auto"/>
          <w:sz w:val="32"/>
          <w:szCs w:val="32"/>
        </w:rPr>
        <w:t>特长生</w:t>
      </w:r>
      <w:r>
        <w:rPr>
          <w:rFonts w:hint="eastAsia" w:ascii="仿宋_GB2312" w:hAnsi="仿宋_GB2312" w:eastAsia="仿宋_GB2312" w:cs="仿宋_GB2312"/>
          <w:color w:val="auto"/>
          <w:sz w:val="32"/>
          <w:szCs w:val="32"/>
          <w:lang w:eastAsia="zh-CN"/>
        </w:rPr>
        <w:t>专业考试</w:t>
      </w:r>
      <w:r>
        <w:rPr>
          <w:rFonts w:hint="eastAsia" w:ascii="仿宋_GB2312" w:hAnsi="仿宋_GB2312" w:eastAsia="仿宋_GB2312" w:cs="仿宋_GB2312"/>
          <w:color w:val="auto"/>
          <w:sz w:val="32"/>
          <w:szCs w:val="32"/>
        </w:rPr>
        <w:t>报名时间为3月</w:t>
      </w:r>
      <w:r>
        <w:rPr>
          <w:rFonts w:hint="eastAsia" w:ascii="仿宋_GB2312" w:hAnsi="仿宋_GB2312" w:eastAsia="仿宋_GB2312" w:cs="仿宋_GB2312"/>
          <w:color w:val="auto"/>
          <w:sz w:val="32"/>
          <w:szCs w:val="32"/>
          <w:lang w:eastAsia="zh-CN"/>
        </w:rPr>
        <w:t>13</w:t>
      </w:r>
      <w:r>
        <w:rPr>
          <w:rFonts w:hint="eastAsia" w:ascii="仿宋_GB2312" w:hAnsi="仿宋_GB2312" w:eastAsia="仿宋_GB2312" w:cs="仿宋_GB2312"/>
          <w:color w:val="auto"/>
          <w:sz w:val="32"/>
          <w:szCs w:val="32"/>
        </w:rPr>
        <w:t>日</w:t>
      </w:r>
      <w:r>
        <w:rPr>
          <w:rFonts w:hint="eastAsia" w:ascii="仿宋_GB2312" w:hAnsi="仿宋_GB2312" w:eastAsia="仿宋_GB2312" w:cs="仿宋_GB2312"/>
          <w:color w:val="auto"/>
          <w:sz w:val="32"/>
          <w:szCs w:val="32"/>
          <w:lang w:eastAsia="zh-CN"/>
        </w:rPr>
        <w:t>8：30</w:t>
      </w:r>
      <w:r>
        <w:rPr>
          <w:rFonts w:hint="eastAsia" w:ascii="仿宋_GB2312" w:hAnsi="仿宋_GB2312" w:eastAsia="仿宋_GB2312" w:cs="仿宋_GB2312"/>
          <w:color w:val="auto"/>
          <w:sz w:val="32"/>
          <w:szCs w:val="32"/>
        </w:rPr>
        <w:t>至</w:t>
      </w:r>
      <w:r>
        <w:rPr>
          <w:rFonts w:hint="eastAsia" w:ascii="仿宋_GB2312" w:hAnsi="仿宋_GB2312" w:eastAsia="仿宋_GB2312" w:cs="仿宋_GB2312"/>
          <w:color w:val="auto"/>
          <w:sz w:val="32"/>
          <w:szCs w:val="32"/>
          <w:lang w:eastAsia="zh-CN"/>
        </w:rPr>
        <w:t>14</w:t>
      </w:r>
      <w:r>
        <w:rPr>
          <w:rFonts w:hint="eastAsia" w:ascii="仿宋_GB2312" w:hAnsi="仿宋_GB2312" w:eastAsia="仿宋_GB2312" w:cs="仿宋_GB2312"/>
          <w:color w:val="auto"/>
          <w:sz w:val="32"/>
          <w:szCs w:val="32"/>
        </w:rPr>
        <w:t>日</w:t>
      </w:r>
      <w:r>
        <w:rPr>
          <w:rFonts w:hint="eastAsia" w:ascii="仿宋_GB2312" w:hAnsi="仿宋_GB2312" w:eastAsia="仿宋_GB2312" w:cs="仿宋_GB2312"/>
          <w:color w:val="auto"/>
          <w:sz w:val="32"/>
          <w:szCs w:val="32"/>
          <w:lang w:eastAsia="zh-CN"/>
        </w:rPr>
        <w:t>17：30</w:t>
      </w:r>
      <w:r>
        <w:rPr>
          <w:rFonts w:hint="eastAsia" w:ascii="仿宋_GB2312" w:hAnsi="仿宋_GB2312" w:eastAsia="仿宋_GB2312" w:cs="仿宋_GB2312"/>
          <w:color w:val="auto"/>
          <w:sz w:val="32"/>
          <w:szCs w:val="32"/>
        </w:rPr>
        <w:t>，考生登录威海市教育局网站（</w:t>
      </w:r>
      <w:r>
        <w:fldChar w:fldCharType="begin"/>
      </w:r>
      <w:r>
        <w:instrText xml:space="preserve"> HYPERLINK "http://whzwfw.sd.gov.cn），点击" </w:instrText>
      </w:r>
      <w:r>
        <w:fldChar w:fldCharType="separate"/>
      </w:r>
      <w:r>
        <w:rPr>
          <w:rStyle w:val="11"/>
          <w:rFonts w:hint="eastAsia" w:ascii="仿宋_GB2312" w:hAnsi="仿宋_GB2312" w:eastAsia="仿宋_GB2312" w:cs="仿宋_GB2312"/>
          <w:color w:val="auto"/>
          <w:sz w:val="32"/>
          <w:szCs w:val="32"/>
          <w:u w:val="none"/>
        </w:rPr>
        <w:t>http://jyj.weihai.gov.cn/），点击“招生考试”，选</w:t>
      </w:r>
      <w:r>
        <w:rPr>
          <w:rStyle w:val="11"/>
          <w:rFonts w:hint="eastAsia" w:ascii="仿宋_GB2312" w:hAnsi="仿宋_GB2312" w:eastAsia="仿宋_GB2312" w:cs="仿宋_GB2312"/>
          <w:color w:val="auto"/>
          <w:sz w:val="32"/>
          <w:szCs w:val="32"/>
          <w:u w:val="none"/>
        </w:rPr>
        <w:fldChar w:fldCharType="end"/>
      </w:r>
      <w:r>
        <w:rPr>
          <w:rFonts w:hint="eastAsia" w:ascii="仿宋_GB2312" w:hAnsi="仿宋_GB2312" w:eastAsia="仿宋_GB2312" w:cs="仿宋_GB2312"/>
          <w:color w:val="auto"/>
          <w:sz w:val="32"/>
          <w:szCs w:val="32"/>
        </w:rPr>
        <w:t>择“威海市高中段学校统一考试招生录取管理系统（考生登陆）”，按要求报名。</w:t>
      </w:r>
      <w:r>
        <w:rPr>
          <w:rFonts w:hint="eastAsia" w:eastAsia="仿宋_GB2312"/>
          <w:color w:val="auto"/>
          <w:sz w:val="32"/>
          <w:szCs w:val="32"/>
          <w:lang w:eastAsia="zh-CN"/>
        </w:rPr>
        <w:t>考生需在规定的时间内正确选择项目完成报考，逾期不得补报或修改报考信息。</w:t>
      </w:r>
    </w:p>
    <w:p w14:paraId="61FF7C42">
      <w:pPr>
        <w:overflowPunct w:val="0"/>
        <w:spacing w:line="578" w:lineRule="exact"/>
        <w:ind w:firstLine="640" w:firstLineChars="200"/>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音乐、美术、体育各专业类别之间不允许兼报，音乐类中声乐、高水平管弦乐团各项目之间不得兼报，体育类中各项目之间不得兼报。</w:t>
      </w:r>
    </w:p>
    <w:p w14:paraId="1D8F1F15">
      <w:pPr>
        <w:overflowPunct w:val="0"/>
        <w:spacing w:line="578" w:lineRule="exact"/>
        <w:ind w:firstLine="640" w:firstLineChars="200"/>
        <w:rPr>
          <w:rFonts w:ascii="仿宋_GB2312" w:hAnsi="仿宋_GB2312" w:eastAsia="仿宋_GB2312" w:cs="仿宋_GB2312"/>
          <w:strike/>
          <w:color w:val="auto"/>
          <w:sz w:val="32"/>
          <w:szCs w:val="32"/>
          <w:lang w:eastAsia="zh-CN"/>
        </w:rPr>
      </w:pPr>
      <w:r>
        <w:rPr>
          <w:rFonts w:hint="eastAsia" w:ascii="仿宋_GB2312" w:hAnsi="仿宋_GB2312" w:eastAsia="仿宋_GB2312" w:cs="仿宋_GB2312"/>
          <w:color w:val="auto"/>
          <w:sz w:val="32"/>
          <w:szCs w:val="32"/>
          <w:lang w:eastAsia="zh-CN"/>
        </w:rPr>
        <w:t>高水平合唱团的考生可兼报我校声乐特长生，高水平管弦乐团的考生可兼报其他学校器乐。</w:t>
      </w:r>
    </w:p>
    <w:p w14:paraId="297C5512">
      <w:pPr>
        <w:adjustRightInd/>
        <w:snapToGrid/>
        <w:spacing w:line="578" w:lineRule="exact"/>
        <w:ind w:firstLine="668" w:firstLineChars="200"/>
        <w:rPr>
          <w:rFonts w:ascii="黑体" w:hAnsi="黑体" w:eastAsia="黑体" w:cs="黑体"/>
          <w:color w:val="auto"/>
          <w:spacing w:val="7"/>
          <w:sz w:val="32"/>
          <w:szCs w:val="32"/>
          <w:lang w:eastAsia="zh-CN"/>
        </w:rPr>
      </w:pPr>
      <w:r>
        <w:rPr>
          <w:rFonts w:hint="eastAsia" w:ascii="黑体" w:hAnsi="黑体" w:eastAsia="黑体" w:cs="黑体"/>
          <w:color w:val="auto"/>
          <w:spacing w:val="7"/>
          <w:sz w:val="32"/>
          <w:szCs w:val="32"/>
          <w:lang w:eastAsia="zh-CN"/>
        </w:rPr>
        <w:t>四、考试</w:t>
      </w:r>
    </w:p>
    <w:p w14:paraId="6BBA5A90">
      <w:pPr>
        <w:spacing w:line="578" w:lineRule="exact"/>
        <w:ind w:firstLine="640" w:firstLineChars="200"/>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1.考试组织主体：</w:t>
      </w:r>
    </w:p>
    <w:p w14:paraId="69E819E2">
      <w:pPr>
        <w:overflowPunct w:val="0"/>
        <w:adjustRightInd/>
        <w:snapToGrid/>
        <w:spacing w:line="578" w:lineRule="exact"/>
        <w:ind w:firstLine="640" w:firstLineChars="200"/>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特长生专业考试分统考和校考，</w:t>
      </w:r>
      <w:r>
        <w:rPr>
          <w:rFonts w:hint="eastAsia" w:ascii="仿宋_GB2312" w:hAnsi="仿宋_GB2312" w:eastAsia="仿宋_GB2312" w:cs="仿宋_GB2312"/>
          <w:color w:val="auto"/>
          <w:spacing w:val="10"/>
          <w:sz w:val="32"/>
          <w:szCs w:val="32"/>
          <w:lang w:eastAsia="zh-CN"/>
        </w:rPr>
        <w:t>高水平管弦乐团为校考，专业考试由威海市实验高级中学负责组织,考试内容及具体要求见附件1；</w:t>
      </w:r>
      <w:r>
        <w:rPr>
          <w:rFonts w:hint="eastAsia" w:ascii="仿宋_GB2312" w:hAnsi="仿宋_GB2312" w:eastAsia="仿宋_GB2312" w:cs="仿宋_GB2312"/>
          <w:color w:val="auto"/>
          <w:sz w:val="32"/>
          <w:szCs w:val="32"/>
          <w:lang w:eastAsia="zh-CN"/>
        </w:rPr>
        <w:t>美术、声乐、体育为统考，专业考试由市教育招生考试院统一组织，考试内容及具体要求详见市教育招生考试院下发的相关文件。</w:t>
      </w:r>
    </w:p>
    <w:p w14:paraId="43982D97">
      <w:pPr>
        <w:pStyle w:val="4"/>
        <w:spacing w:line="578" w:lineRule="exact"/>
        <w:ind w:firstLine="640" w:firstLineChars="200"/>
        <w:rPr>
          <w:color w:val="auto"/>
        </w:rPr>
      </w:pPr>
      <w:r>
        <w:rPr>
          <w:rFonts w:hint="eastAsia"/>
          <w:color w:val="auto"/>
        </w:rPr>
        <w:t>2.考试时间及安排：</w:t>
      </w:r>
    </w:p>
    <w:p w14:paraId="05BC9F07">
      <w:pPr>
        <w:overflowPunct w:val="0"/>
        <w:adjustRightInd/>
        <w:snapToGrid/>
        <w:spacing w:line="578" w:lineRule="exact"/>
        <w:ind w:firstLine="680" w:firstLineChars="200"/>
        <w:rPr>
          <w:rFonts w:ascii="仿宋_GB2312" w:hAnsi="仿宋_GB2312" w:eastAsia="仿宋_GB2312" w:cs="仿宋_GB2312"/>
          <w:color w:val="auto"/>
          <w:spacing w:val="10"/>
          <w:sz w:val="32"/>
          <w:szCs w:val="32"/>
          <w:lang w:eastAsia="zh-CN"/>
        </w:rPr>
      </w:pPr>
      <w:r>
        <w:rPr>
          <w:rFonts w:hint="eastAsia" w:ascii="仿宋_GB2312" w:hAnsi="仿宋_GB2312" w:eastAsia="仿宋_GB2312" w:cs="仿宋_GB2312"/>
          <w:color w:val="auto"/>
          <w:spacing w:val="10"/>
          <w:sz w:val="32"/>
          <w:szCs w:val="32"/>
          <w:lang w:eastAsia="zh-CN"/>
        </w:rPr>
        <w:t>高水平管弦乐团考试时间为3月21日，</w:t>
      </w:r>
      <w:r>
        <w:rPr>
          <w:rFonts w:hint="eastAsia" w:ascii="仿宋_GB2312" w:hAnsi="仿宋_GB2312" w:eastAsia="仿宋_GB2312" w:cs="仿宋_GB2312"/>
          <w:color w:val="auto"/>
          <w:sz w:val="32"/>
          <w:szCs w:val="32"/>
          <w:lang w:eastAsia="zh-CN"/>
        </w:rPr>
        <w:t>美术、声乐统考时间为</w:t>
      </w:r>
      <w:r>
        <w:rPr>
          <w:rFonts w:hint="eastAsia" w:ascii="仿宋_GB2312" w:hAnsi="仿宋_GB2312" w:eastAsia="仿宋_GB2312" w:cs="仿宋_GB2312"/>
          <w:color w:val="auto"/>
          <w:spacing w:val="10"/>
          <w:sz w:val="32"/>
          <w:szCs w:val="32"/>
          <w:lang w:eastAsia="zh-CN"/>
        </w:rPr>
        <w:t>3月22日至23日，体育统考时间为5月24日至26日。</w:t>
      </w:r>
    </w:p>
    <w:p w14:paraId="1F5C5BF7">
      <w:pPr>
        <w:overflowPunct w:val="0"/>
        <w:adjustRightInd/>
        <w:snapToGrid/>
        <w:spacing w:line="578" w:lineRule="exact"/>
        <w:ind w:firstLine="680" w:firstLineChars="200"/>
        <w:rPr>
          <w:rFonts w:ascii="仿宋_GB2312" w:hAnsi="仿宋_GB2312" w:eastAsia="仿宋_GB2312" w:cs="仿宋_GB2312"/>
          <w:color w:val="auto"/>
          <w:spacing w:val="10"/>
          <w:sz w:val="32"/>
          <w:szCs w:val="32"/>
          <w:lang w:eastAsia="zh-CN"/>
        </w:rPr>
      </w:pPr>
      <w:r>
        <w:rPr>
          <w:rFonts w:hint="eastAsia" w:ascii="仿宋_GB2312" w:hAnsi="仿宋_GB2312" w:eastAsia="仿宋_GB2312" w:cs="仿宋_GB2312"/>
          <w:color w:val="auto"/>
          <w:spacing w:val="10"/>
          <w:sz w:val="32"/>
          <w:szCs w:val="32"/>
          <w:lang w:eastAsia="zh-CN"/>
        </w:rPr>
        <w:t>高水平管弦乐团</w:t>
      </w:r>
      <w:r>
        <w:rPr>
          <w:rFonts w:hint="eastAsia" w:ascii="仿宋_GB2312" w:hAnsi="仿宋_GB2312" w:eastAsia="仿宋_GB2312" w:cs="仿宋_GB2312"/>
          <w:b/>
          <w:bCs/>
          <w:color w:val="auto"/>
          <w:spacing w:val="10"/>
          <w:sz w:val="32"/>
          <w:szCs w:val="32"/>
          <w:lang w:eastAsia="zh-CN"/>
        </w:rPr>
        <w:t>考试地点为</w:t>
      </w:r>
      <w:r>
        <w:rPr>
          <w:rFonts w:hint="eastAsia" w:ascii="仿宋_GB2312" w:hAnsi="仿宋_GB2312" w:eastAsia="仿宋_GB2312" w:cs="仿宋_GB2312"/>
          <w:color w:val="auto"/>
          <w:spacing w:val="10"/>
          <w:sz w:val="32"/>
          <w:szCs w:val="32"/>
          <w:lang w:eastAsia="zh-CN"/>
        </w:rPr>
        <w:t>威海市实验高级中学（威海市经济技术开发区松涧西路260号）。考生携带准考证由学校南大门(①号门）进入学校，上午8:10报到结束，禁止入场。考试开始时间为上午8:20。</w:t>
      </w:r>
    </w:p>
    <w:p w14:paraId="1A69AF90">
      <w:pPr>
        <w:overflowPunct w:val="0"/>
        <w:adjustRightInd/>
        <w:snapToGrid/>
        <w:spacing w:line="578" w:lineRule="exact"/>
        <w:ind w:firstLine="680" w:firstLineChars="200"/>
        <w:rPr>
          <w:rFonts w:ascii="仿宋_GB2312" w:hAnsi="仿宋_GB2312" w:eastAsia="仿宋_GB2312" w:cs="仿宋_GB2312"/>
          <w:color w:val="auto"/>
          <w:spacing w:val="10"/>
          <w:sz w:val="32"/>
          <w:szCs w:val="32"/>
          <w:lang w:eastAsia="zh-CN"/>
        </w:rPr>
      </w:pPr>
      <w:r>
        <w:rPr>
          <w:rFonts w:hint="eastAsia" w:ascii="仿宋_GB2312" w:hAnsi="仿宋_GB2312" w:eastAsia="仿宋_GB2312" w:cs="仿宋_GB2312"/>
          <w:color w:val="auto"/>
          <w:spacing w:val="10"/>
          <w:sz w:val="32"/>
          <w:szCs w:val="32"/>
          <w:lang w:eastAsia="zh-CN"/>
        </w:rPr>
        <w:t>考试具体内容、评分标准：见附件1。考生乐器自备。</w:t>
      </w:r>
    </w:p>
    <w:p w14:paraId="74683E39">
      <w:pPr>
        <w:overflowPunct w:val="0"/>
        <w:adjustRightInd/>
        <w:snapToGrid/>
        <w:spacing w:line="578" w:lineRule="exact"/>
        <w:ind w:firstLine="680" w:firstLineChars="200"/>
        <w:rPr>
          <w:rFonts w:ascii="仿宋_GB2312" w:hAnsi="仿宋_GB2312" w:eastAsia="仿宋_GB2312" w:cs="仿宋_GB2312"/>
          <w:color w:val="auto"/>
          <w:spacing w:val="10"/>
          <w:sz w:val="32"/>
          <w:szCs w:val="32"/>
          <w:lang w:eastAsia="zh-CN"/>
        </w:rPr>
      </w:pPr>
      <w:r>
        <w:rPr>
          <w:rFonts w:hint="eastAsia" w:ascii="仿宋_GB2312" w:hAnsi="仿宋_GB2312" w:eastAsia="仿宋_GB2312" w:cs="仿宋_GB2312"/>
          <w:color w:val="auto"/>
          <w:spacing w:val="10"/>
          <w:sz w:val="32"/>
          <w:szCs w:val="32"/>
          <w:lang w:eastAsia="zh-CN"/>
        </w:rPr>
        <w:t>为保证考试公平、公正、公开，考试过程全程录像，专业评委全部外聘，同时邀请社会监督员全程监督。</w:t>
      </w:r>
    </w:p>
    <w:p w14:paraId="638843F4">
      <w:pPr>
        <w:overflowPunct w:val="0"/>
        <w:adjustRightInd/>
        <w:snapToGrid/>
        <w:spacing w:line="578" w:lineRule="exact"/>
        <w:ind w:firstLine="680" w:firstLineChars="200"/>
        <w:rPr>
          <w:rFonts w:ascii="仿宋_GB2312" w:hAnsi="仿宋_GB2312" w:eastAsia="仿宋_GB2312" w:cs="仿宋_GB2312"/>
          <w:color w:val="auto"/>
          <w:spacing w:val="10"/>
          <w:sz w:val="32"/>
          <w:szCs w:val="32"/>
          <w:lang w:eastAsia="zh-CN"/>
        </w:rPr>
      </w:pPr>
      <w:r>
        <w:rPr>
          <w:rFonts w:hint="eastAsia" w:ascii="仿宋_GB2312" w:hAnsi="仿宋_GB2312" w:eastAsia="仿宋_GB2312" w:cs="仿宋_GB2312"/>
          <w:color w:val="auto"/>
          <w:spacing w:val="10"/>
          <w:sz w:val="32"/>
          <w:szCs w:val="32"/>
          <w:lang w:eastAsia="zh-CN"/>
        </w:rPr>
        <w:t>举报电话：0631-5931377</w:t>
      </w:r>
    </w:p>
    <w:p w14:paraId="3DFDF52A">
      <w:pPr>
        <w:pStyle w:val="4"/>
        <w:spacing w:line="578" w:lineRule="exact"/>
        <w:ind w:firstLine="640" w:firstLineChars="200"/>
        <w:rPr>
          <w:color w:val="auto"/>
        </w:rPr>
      </w:pPr>
      <w:r>
        <w:rPr>
          <w:rFonts w:hint="eastAsia"/>
          <w:color w:val="auto"/>
        </w:rPr>
        <w:t>3.专业合格划定。</w:t>
      </w:r>
    </w:p>
    <w:p w14:paraId="5E41EE18">
      <w:pPr>
        <w:overflowPunct w:val="0"/>
        <w:spacing w:line="578" w:lineRule="exact"/>
        <w:ind w:firstLine="640" w:firstLineChars="200"/>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美术按中心城区普通高中招生计划总数1：2的比例划定专业考试合格线，确定专业合格名单，专业合格考生默认我校专业合格。专业考试合格线上考生数量达不到规定比例的，按比例相应缩减专业上线人数。</w:t>
      </w:r>
    </w:p>
    <w:p w14:paraId="74C5384C">
      <w:pPr>
        <w:overflowPunct w:val="0"/>
        <w:spacing w:line="578" w:lineRule="exact"/>
        <w:ind w:firstLine="640" w:firstLineChars="200"/>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高水平管弦乐团各小项最低专业资格线70分，达到最低专业资格线的考生,按我校招生计划数1：1的比例划定专业考试合格线，确定专业合格名单。专业合格考生默认我校专业合格。已被我校高水平管弦乐团确认为专业合格的考生，不得参加普通音乐专业统考。专业考试合格线上考生数量达不到规定比例的，按比例相应缩减专业上线人数。</w:t>
      </w:r>
    </w:p>
    <w:p w14:paraId="6726ABA6">
      <w:pPr>
        <w:overflowPunct w:val="0"/>
        <w:spacing w:line="578" w:lineRule="exact"/>
        <w:ind w:firstLine="640" w:firstLineChars="200"/>
        <w:rPr>
          <w:rFonts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声乐按中心城区普通高中招生计划总数1∶1.5的比例划定专业考试合格线，确定专业合格名单(</w:t>
      </w:r>
      <w:bookmarkStart w:id="0" w:name="_Hlk192497804"/>
      <w:r>
        <w:rPr>
          <w:rFonts w:hint="eastAsia" w:ascii="仿宋_GB2312" w:hAnsi="仿宋_GB2312" w:eastAsia="仿宋_GB2312" w:cs="仿宋_GB2312"/>
          <w:color w:val="auto"/>
          <w:sz w:val="32"/>
          <w:szCs w:val="32"/>
          <w:highlight w:val="none"/>
          <w:lang w:eastAsia="zh-CN"/>
        </w:rPr>
        <w:t>小数部分向上取整</w:t>
      </w:r>
      <w:bookmarkEnd w:id="0"/>
      <w:r>
        <w:rPr>
          <w:rFonts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eastAsia="zh-CN"/>
        </w:rPr>
        <w:t>。专业合格考生默认我校专业合格。专业考试合格线上考生数量达不到规定比例的，按比例相应缩减专业上线人数。</w:t>
      </w:r>
    </w:p>
    <w:p w14:paraId="5C1473D1">
      <w:pPr>
        <w:spacing w:line="578" w:lineRule="exact"/>
        <w:ind w:firstLine="640" w:firstLineChars="200"/>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highlight w:val="none"/>
          <w:lang w:eastAsia="zh-CN"/>
        </w:rPr>
        <w:t>体育各个大项的最低专业资格线为60分。达到最低专业资格线的考生,按我校各项目招生计划总数1∶1.2的比例划定专业考试合格线，确定各项目的专业合格考生名单（小数部分向上取整）。</w:t>
      </w:r>
      <w:r>
        <w:rPr>
          <w:rFonts w:hint="eastAsia" w:ascii="仿宋_GB2312" w:hAnsi="仿宋_GB2312" w:eastAsia="仿宋_GB2312" w:cs="仿宋_GB2312"/>
          <w:color w:val="auto"/>
          <w:sz w:val="32"/>
          <w:szCs w:val="32"/>
          <w:lang w:eastAsia="zh-CN"/>
        </w:rPr>
        <w:t>专业合格考生默认我校专业合格。专业考试合格线上考生数量达不到规定比例的，按比例相应缩减专业上线人数。</w:t>
      </w:r>
    </w:p>
    <w:p w14:paraId="21AC53C9">
      <w:pPr>
        <w:pStyle w:val="4"/>
        <w:spacing w:line="578" w:lineRule="exact"/>
        <w:ind w:firstLine="640" w:firstLineChars="200"/>
        <w:rPr>
          <w:rFonts w:ascii="仿宋_GB2312" w:hAnsi="仿宋_GB2312" w:cs="仿宋_GB2312"/>
          <w:color w:val="auto"/>
          <w:szCs w:val="32"/>
        </w:rPr>
      </w:pPr>
      <w:r>
        <w:rPr>
          <w:rFonts w:hint="eastAsia" w:ascii="仿宋_GB2312" w:hAnsi="仿宋_GB2312" w:cs="仿宋_GB2312"/>
          <w:color w:val="auto"/>
          <w:szCs w:val="32"/>
        </w:rPr>
        <w:t>4.成绩查询。</w:t>
      </w:r>
    </w:p>
    <w:p w14:paraId="4C77CF32">
      <w:pPr>
        <w:spacing w:line="578" w:lineRule="exact"/>
        <w:ind w:firstLine="640" w:firstLineChars="200"/>
        <w:jc w:val="both"/>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3月25日公布美术、声乐专业统考成绩，5月28日公布体育专业统考成绩。考生登录威海市教育局网站（</w:t>
      </w:r>
      <w:r>
        <w:fldChar w:fldCharType="begin"/>
      </w:r>
      <w:r>
        <w:instrText xml:space="preserve"> HYPERLINK "http://whzwfw.sd.gov.cn），点击" </w:instrText>
      </w:r>
      <w:r>
        <w:fldChar w:fldCharType="separate"/>
      </w:r>
      <w:r>
        <w:rPr>
          <w:rStyle w:val="11"/>
          <w:rFonts w:hint="eastAsia" w:ascii="仿宋_GB2312" w:hAnsi="仿宋_GB2312" w:eastAsia="仿宋_GB2312" w:cs="仿宋_GB2312"/>
          <w:color w:val="auto"/>
          <w:sz w:val="32"/>
          <w:szCs w:val="32"/>
          <w:u w:val="none"/>
          <w:lang w:eastAsia="zh-CN"/>
        </w:rPr>
        <w:t>http://jyj.weihai.gov.cn/），点击“招生考试”，选</w:t>
      </w:r>
      <w:r>
        <w:rPr>
          <w:rStyle w:val="11"/>
          <w:rFonts w:hint="eastAsia" w:ascii="仿宋_GB2312" w:hAnsi="仿宋_GB2312" w:eastAsia="仿宋_GB2312" w:cs="仿宋_GB2312"/>
          <w:color w:val="auto"/>
          <w:sz w:val="32"/>
          <w:szCs w:val="32"/>
          <w:u w:val="none"/>
          <w:lang w:eastAsia="zh-CN"/>
        </w:rPr>
        <w:fldChar w:fldCharType="end"/>
      </w:r>
      <w:r>
        <w:rPr>
          <w:rFonts w:hint="eastAsia" w:ascii="仿宋_GB2312" w:hAnsi="仿宋_GB2312" w:eastAsia="仿宋_GB2312" w:cs="仿宋_GB2312"/>
          <w:color w:val="auto"/>
          <w:sz w:val="32"/>
          <w:szCs w:val="32"/>
          <w:lang w:eastAsia="zh-CN"/>
        </w:rPr>
        <w:t>择“威海市高中段学校统一考试招生录取管理系统（考生登陆）”进入查询。</w:t>
      </w:r>
    </w:p>
    <w:p w14:paraId="70D179F5">
      <w:pPr>
        <w:spacing w:line="578" w:lineRule="exact"/>
        <w:ind w:firstLine="640" w:firstLineChars="200"/>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高水平管弦乐团校考成绩查询：考生可于3月21日20点后在威海市实验高级中学网站（www.whshiyangaozhong.cn/）上查询考试成绩及专业是否合格。</w:t>
      </w:r>
    </w:p>
    <w:p w14:paraId="5B22AEBE">
      <w:pPr>
        <w:adjustRightInd/>
        <w:snapToGrid/>
        <w:spacing w:line="578" w:lineRule="exact"/>
        <w:ind w:firstLine="668" w:firstLineChars="200"/>
        <w:rPr>
          <w:rFonts w:ascii="黑体" w:hAnsi="黑体" w:eastAsia="黑体" w:cs="黑体"/>
          <w:color w:val="auto"/>
          <w:spacing w:val="7"/>
          <w:sz w:val="32"/>
          <w:szCs w:val="32"/>
          <w:lang w:eastAsia="zh-CN"/>
        </w:rPr>
      </w:pPr>
      <w:r>
        <w:rPr>
          <w:rFonts w:hint="eastAsia" w:ascii="黑体" w:hAnsi="黑体" w:eastAsia="黑体" w:cs="黑体"/>
          <w:color w:val="auto"/>
          <w:spacing w:val="7"/>
          <w:sz w:val="32"/>
          <w:szCs w:val="32"/>
          <w:lang w:eastAsia="zh-CN"/>
        </w:rPr>
        <w:t>五、招生录取</w:t>
      </w:r>
    </w:p>
    <w:p w14:paraId="6043C8DB">
      <w:pPr>
        <w:widowControl w:val="0"/>
        <w:kinsoku/>
        <w:overflowPunct w:val="0"/>
        <w:adjustRightInd/>
        <w:snapToGrid/>
        <w:spacing w:line="578" w:lineRule="exact"/>
        <w:ind w:firstLine="680" w:firstLineChars="200"/>
        <w:textAlignment w:val="auto"/>
        <w:rPr>
          <w:rFonts w:ascii="仿宋_GB2312" w:hAnsi="仿宋_GB2312" w:eastAsia="仿宋_GB2312" w:cs="仿宋_GB2312"/>
          <w:color w:val="auto"/>
          <w:spacing w:val="10"/>
          <w:sz w:val="32"/>
          <w:szCs w:val="32"/>
          <w:lang w:eastAsia="zh-CN"/>
        </w:rPr>
      </w:pPr>
      <w:r>
        <w:rPr>
          <w:rFonts w:hint="eastAsia" w:ascii="仿宋_GB2312" w:hAnsi="仿宋_GB2312" w:eastAsia="仿宋_GB2312" w:cs="仿宋_GB2312"/>
          <w:color w:val="auto"/>
          <w:spacing w:val="10"/>
          <w:sz w:val="32"/>
          <w:szCs w:val="32"/>
          <w:lang w:eastAsia="zh-CN"/>
        </w:rPr>
        <w:t>（一）志愿填报。</w:t>
      </w:r>
    </w:p>
    <w:p w14:paraId="2A994122">
      <w:pPr>
        <w:spacing w:line="578" w:lineRule="exact"/>
        <w:ind w:firstLine="680" w:firstLineChars="200"/>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pacing w:val="10"/>
          <w:sz w:val="32"/>
          <w:szCs w:val="32"/>
          <w:lang w:eastAsia="zh-CN"/>
        </w:rPr>
        <w:t>填报志愿时间为</w:t>
      </w:r>
      <w:r>
        <w:rPr>
          <w:rFonts w:ascii="仿宋_GB2312" w:hAnsi="仿宋_GB2312" w:eastAsia="仿宋_GB2312" w:cs="仿宋_GB2312"/>
          <w:color w:val="auto"/>
          <w:spacing w:val="10"/>
          <w:sz w:val="32"/>
          <w:szCs w:val="32"/>
          <w:lang w:eastAsia="zh-CN"/>
        </w:rPr>
        <w:t>6</w:t>
      </w:r>
      <w:r>
        <w:rPr>
          <w:rFonts w:hint="eastAsia" w:ascii="仿宋_GB2312" w:hAnsi="仿宋_GB2312" w:eastAsia="仿宋_GB2312" w:cs="仿宋_GB2312"/>
          <w:color w:val="auto"/>
          <w:spacing w:val="10"/>
          <w:sz w:val="32"/>
          <w:szCs w:val="32"/>
          <w:lang w:eastAsia="zh-CN"/>
        </w:rPr>
        <w:t>月23日8时至24日17时。</w:t>
      </w:r>
      <w:r>
        <w:rPr>
          <w:rFonts w:hint="eastAsia" w:ascii="仿宋_GB2312" w:hAnsi="仿宋_GB2312" w:eastAsia="仿宋_GB2312" w:cs="仿宋_GB2312"/>
          <w:color w:val="auto"/>
          <w:sz w:val="32"/>
          <w:szCs w:val="32"/>
          <w:lang w:eastAsia="zh-CN"/>
        </w:rPr>
        <w:t>高水平管弦乐团合格的考生默认填报我校志愿。美术、声乐、体育统考专业合格考生需填报我校志愿。</w:t>
      </w:r>
    </w:p>
    <w:p w14:paraId="40D422B7">
      <w:pPr>
        <w:widowControl w:val="0"/>
        <w:kinsoku/>
        <w:overflowPunct w:val="0"/>
        <w:adjustRightInd/>
        <w:snapToGrid/>
        <w:spacing w:line="578" w:lineRule="exact"/>
        <w:ind w:firstLine="680" w:firstLineChars="200"/>
        <w:textAlignment w:val="auto"/>
        <w:rPr>
          <w:rFonts w:ascii="仿宋_GB2312" w:hAnsi="仿宋_GB2312" w:eastAsia="仿宋_GB2312" w:cs="仿宋_GB2312"/>
          <w:color w:val="auto"/>
          <w:spacing w:val="10"/>
          <w:sz w:val="32"/>
          <w:szCs w:val="32"/>
          <w:lang w:eastAsia="zh-CN"/>
        </w:rPr>
      </w:pPr>
      <w:r>
        <w:rPr>
          <w:rFonts w:hint="eastAsia" w:ascii="仿宋_GB2312" w:hAnsi="仿宋_GB2312" w:eastAsia="仿宋_GB2312" w:cs="仿宋_GB2312"/>
          <w:color w:val="auto"/>
          <w:spacing w:val="10"/>
          <w:sz w:val="32"/>
          <w:szCs w:val="32"/>
          <w:lang w:eastAsia="zh-CN"/>
        </w:rPr>
        <w:t>（二）录取。</w:t>
      </w:r>
    </w:p>
    <w:p w14:paraId="3BCE3250">
      <w:pPr>
        <w:spacing w:line="578" w:lineRule="exact"/>
        <w:ind w:firstLine="640" w:firstLineChars="200"/>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1.基本条件。</w:t>
      </w:r>
    </w:p>
    <w:p w14:paraId="2B9CFCBE">
      <w:pPr>
        <w:widowControl w:val="0"/>
        <w:kinsoku/>
        <w:autoSpaceDE/>
        <w:autoSpaceDN/>
        <w:adjustRightInd/>
        <w:snapToGrid/>
        <w:spacing w:line="578" w:lineRule="exact"/>
        <w:ind w:firstLine="640" w:firstLineChars="200"/>
        <w:textAlignment w:val="auto"/>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按照威教字〔2024〕27 号文件规定：</w:t>
      </w:r>
    </w:p>
    <w:p w14:paraId="79DF5CDE">
      <w:pPr>
        <w:widowControl w:val="0"/>
        <w:kinsoku/>
        <w:autoSpaceDE/>
        <w:autoSpaceDN/>
        <w:adjustRightInd/>
        <w:snapToGrid/>
        <w:spacing w:line="578" w:lineRule="exact"/>
        <w:ind w:firstLine="640" w:firstLineChars="200"/>
        <w:textAlignment w:val="auto"/>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初中阶段获得体育主管部门颁发的“国家一级运动员”及以上等级证书（国家体育总局网站可查询）的考生，直接录取，不占学校体育特长生招生计划。</w:t>
      </w:r>
    </w:p>
    <w:p w14:paraId="72CC1C54">
      <w:pPr>
        <w:widowControl w:val="0"/>
        <w:kinsoku/>
        <w:autoSpaceDE/>
        <w:autoSpaceDN/>
        <w:adjustRightInd/>
        <w:snapToGrid/>
        <w:spacing w:line="578" w:lineRule="exact"/>
        <w:ind w:firstLine="640" w:firstLineChars="200"/>
        <w:textAlignment w:val="auto"/>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初中阶段获得体育主管部门颁发的“国家二级运动员”等级证书（国家体育总局网站可查询）且等级证书大项与中考报考大项一致的考生，免予体育专项测试，专业成绩按照满分折算计入综合成绩。</w:t>
      </w:r>
    </w:p>
    <w:p w14:paraId="7249623A">
      <w:pPr>
        <w:widowControl w:val="0"/>
        <w:kinsoku/>
        <w:autoSpaceDE/>
        <w:autoSpaceDN/>
        <w:adjustRightInd/>
        <w:snapToGrid/>
        <w:spacing w:line="578" w:lineRule="exact"/>
        <w:ind w:firstLine="640" w:firstLineChars="200"/>
        <w:textAlignment w:val="auto"/>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录取时满足下列条件之一的考生，其</w:t>
      </w:r>
      <w:r>
        <w:rPr>
          <w:rFonts w:hint="eastAsia" w:ascii="仿宋_GB2312" w:hAnsi="仿宋_GB2312" w:eastAsia="仿宋_GB2312" w:cs="仿宋_GB2312"/>
          <w:color w:val="auto"/>
          <w:sz w:val="32"/>
          <w:szCs w:val="32"/>
          <w:lang w:val="en" w:eastAsia="zh-CN"/>
        </w:rPr>
        <w:t>道德与法治</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 w:eastAsia="zh-CN"/>
        </w:rPr>
        <w:t>地理、</w:t>
      </w:r>
      <w:r>
        <w:rPr>
          <w:rFonts w:hint="eastAsia" w:ascii="仿宋_GB2312" w:hAnsi="仿宋_GB2312" w:eastAsia="仿宋_GB2312" w:cs="仿宋_GB2312"/>
          <w:color w:val="auto"/>
          <w:sz w:val="32"/>
          <w:szCs w:val="32"/>
          <w:lang w:eastAsia="zh-CN"/>
        </w:rPr>
        <w:t>历史、生物学、信息</w:t>
      </w:r>
      <w:r>
        <w:rPr>
          <w:rFonts w:hint="eastAsia" w:ascii="仿宋_GB2312" w:hAnsi="仿宋_GB2312" w:eastAsia="仿宋_GB2312" w:cs="仿宋_GB2312"/>
          <w:color w:val="auto"/>
          <w:sz w:val="32"/>
          <w:szCs w:val="32"/>
          <w:lang w:val="en" w:eastAsia="zh-CN"/>
        </w:rPr>
        <w:t>科技</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 w:eastAsia="zh-CN"/>
        </w:rPr>
        <w:t>理化生</w:t>
      </w:r>
      <w:r>
        <w:rPr>
          <w:rFonts w:hint="eastAsia" w:ascii="仿宋_GB2312" w:hAnsi="仿宋_GB2312" w:eastAsia="仿宋_GB2312" w:cs="仿宋_GB2312"/>
          <w:color w:val="auto"/>
          <w:sz w:val="32"/>
          <w:szCs w:val="32"/>
          <w:lang w:eastAsia="zh-CN"/>
        </w:rPr>
        <w:t>实验技能6项考试科目和音乐、美术、综合实践活动、地方课程</w:t>
      </w:r>
      <w:r>
        <w:rPr>
          <w:rFonts w:hint="eastAsia" w:ascii="仿宋_GB2312" w:hAnsi="仿宋_GB2312" w:eastAsia="仿宋_GB2312" w:cs="仿宋_GB2312"/>
          <w:color w:val="auto"/>
          <w:sz w:val="32"/>
          <w:szCs w:val="32"/>
          <w:lang w:val="en" w:eastAsia="zh-CN"/>
        </w:rPr>
        <w:t>与</w:t>
      </w:r>
      <w:r>
        <w:rPr>
          <w:rFonts w:hint="eastAsia" w:ascii="仿宋_GB2312" w:hAnsi="仿宋_GB2312" w:eastAsia="仿宋_GB2312" w:cs="仿宋_GB2312"/>
          <w:color w:val="auto"/>
          <w:sz w:val="32"/>
          <w:szCs w:val="32"/>
          <w:lang w:eastAsia="zh-CN"/>
        </w:rPr>
        <w:t>学校课程5项考查科目以及综合素质评价的等级不再作为普通高中招生录取的必备条件。</w:t>
      </w:r>
    </w:p>
    <w:p w14:paraId="6109D9AC">
      <w:pPr>
        <w:widowControl w:val="0"/>
        <w:kinsoku/>
        <w:autoSpaceDE/>
        <w:autoSpaceDN/>
        <w:adjustRightInd/>
        <w:snapToGrid/>
        <w:spacing w:line="578" w:lineRule="exact"/>
        <w:ind w:firstLine="640" w:firstLineChars="200"/>
        <w:textAlignment w:val="auto"/>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1．初中阶段获得体育主管部门颁发的“国家二级运动员”等级证书（国家体育总局网站可查询）的考生；</w:t>
      </w:r>
    </w:p>
    <w:p w14:paraId="4E95B3BD">
      <w:pPr>
        <w:widowControl w:val="0"/>
        <w:kinsoku/>
        <w:autoSpaceDE/>
        <w:autoSpaceDN/>
        <w:adjustRightInd/>
        <w:snapToGrid/>
        <w:spacing w:line="578" w:lineRule="exact"/>
        <w:ind w:firstLine="640" w:firstLineChars="200"/>
        <w:textAlignment w:val="auto"/>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2．初中阶段在教育或体育主管部门组织的省级及以上体育比赛中取得单项或集体项目前8名的考生（团体总分排名除外），比赛仅限于山东省运动会、中学生运动会、中小学体育联赛、锦标赛及教育部、山东省教育厅主办的其他体育赛事；</w:t>
      </w:r>
    </w:p>
    <w:p w14:paraId="3139F4FB">
      <w:pPr>
        <w:widowControl w:val="0"/>
        <w:kinsoku/>
        <w:autoSpaceDE/>
        <w:autoSpaceDN/>
        <w:adjustRightInd/>
        <w:snapToGrid/>
        <w:spacing w:line="578" w:lineRule="exact"/>
        <w:ind w:firstLine="640" w:firstLineChars="200"/>
        <w:textAlignment w:val="auto"/>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3．初中阶段在威海市教育局或威海市体育局主办的市级比赛中取得单项或集体项目前2名的考生（团体总分排名除外），比赛仅限于市运动会、中小学体育联赛和锦标赛及威海市教育局主办的其他赛事。</w:t>
      </w:r>
    </w:p>
    <w:p w14:paraId="6F31DB1C">
      <w:pPr>
        <w:widowControl w:val="0"/>
        <w:kinsoku/>
        <w:autoSpaceDE/>
        <w:autoSpaceDN/>
        <w:adjustRightInd/>
        <w:snapToGrid/>
        <w:spacing w:line="540" w:lineRule="exact"/>
        <w:ind w:firstLine="640" w:firstLineChars="200"/>
        <w:textAlignment w:val="auto"/>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以上运动员等级证书、比赛成绩需在初中阶段获得，时间截至考生初四年级第一学期末，寒假前一天。</w:t>
      </w:r>
    </w:p>
    <w:p w14:paraId="2DD98209">
      <w:pPr>
        <w:spacing w:line="578" w:lineRule="exact"/>
        <w:ind w:firstLine="640" w:firstLineChars="200"/>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其他考生在录取时均需严格执行如下规定：普通高中录取的学生学业考试科目中道德与法治、地理、历史、生物学、信息科技、理化生实验技能6个科目和学生综合素质评价中的基础性发展目标评价总等级均达到C等，且至少有3项需达到B等，达到B等的科目中至少含道德与法治、地理、历史、生物学中的一科。音乐、美术、综合实践活动、地方课程与学校课程5个考查科目成绩均达到C等。语文、数学、英语、物理、化学、体育与健康6个科目考试成绩总分作为普通高中录取的基本依据。考查科目等级、基础性发展目标评价综合总等级为D级的不能录取到普通高中。</w:t>
      </w:r>
    </w:p>
    <w:p w14:paraId="58AF4B4E">
      <w:pPr>
        <w:spacing w:line="578" w:lineRule="exact"/>
        <w:ind w:firstLine="640" w:firstLineChars="200"/>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2.录取办法。</w:t>
      </w:r>
    </w:p>
    <w:p w14:paraId="52D66E0D">
      <w:pPr>
        <w:widowControl w:val="0"/>
        <w:kinsoku/>
        <w:adjustRightInd/>
        <w:snapToGrid/>
        <w:spacing w:line="578" w:lineRule="exact"/>
        <w:ind w:firstLine="640" w:firstLineChars="200"/>
        <w:textAlignment w:val="auto"/>
        <w:rPr>
          <w:rFonts w:ascii="仿宋_GB2312" w:hAnsi="仿宋_GB2312" w:eastAsia="仿宋_GB2312" w:cs="仿宋_GB2312"/>
          <w:color w:val="auto"/>
          <w:spacing w:val="4"/>
          <w:sz w:val="32"/>
          <w:szCs w:val="32"/>
          <w:lang w:eastAsia="zh-CN"/>
        </w:rPr>
      </w:pPr>
      <w:r>
        <w:rPr>
          <w:rFonts w:hint="eastAsia" w:ascii="仿宋_GB2312" w:hAnsi="仿宋_GB2312" w:eastAsia="仿宋_GB2312" w:cs="仿宋_GB2312"/>
          <w:color w:val="auto"/>
          <w:sz w:val="32"/>
          <w:szCs w:val="32"/>
          <w:lang w:eastAsia="zh-CN"/>
        </w:rPr>
        <w:t>艺术、体育特长生均实行综合成绩录取，综合成绩由文化成绩和专业成绩组成，满分为</w:t>
      </w:r>
      <w:r>
        <w:rPr>
          <w:rFonts w:hint="eastAsia" w:ascii="仿宋_GB2312" w:hAnsi="仿宋_GB2312" w:eastAsia="仿宋_GB2312" w:cs="仿宋_GB2312"/>
          <w:color w:val="auto"/>
          <w:kern w:val="2"/>
          <w:sz w:val="32"/>
          <w:szCs w:val="32"/>
          <w:lang w:eastAsia="zh-CN"/>
        </w:rPr>
        <w:t>560</w:t>
      </w:r>
      <w:r>
        <w:rPr>
          <w:rFonts w:hint="eastAsia" w:ascii="仿宋_GB2312" w:hAnsi="仿宋_GB2312" w:eastAsia="仿宋_GB2312" w:cs="仿宋_GB2312"/>
          <w:color w:val="auto"/>
          <w:sz w:val="32"/>
          <w:szCs w:val="32"/>
          <w:lang w:eastAsia="zh-CN"/>
        </w:rPr>
        <w:t>分。</w:t>
      </w:r>
    </w:p>
    <w:p w14:paraId="79571841">
      <w:pPr>
        <w:pStyle w:val="2"/>
        <w:spacing w:line="578" w:lineRule="exact"/>
        <w:ind w:firstLine="656" w:firstLineChars="200"/>
        <w:rPr>
          <w:rFonts w:ascii="仿宋_GB2312" w:hAnsi="仿宋_GB2312" w:eastAsia="仿宋_GB2312" w:cs="仿宋_GB2312"/>
          <w:color w:val="auto"/>
          <w:lang w:eastAsia="zh-CN"/>
        </w:rPr>
      </w:pPr>
      <w:r>
        <w:rPr>
          <w:rFonts w:hint="eastAsia" w:ascii="仿宋_GB2312" w:hAnsi="仿宋_GB2312" w:eastAsia="仿宋_GB2312" w:cs="仿宋_GB2312"/>
          <w:color w:val="auto"/>
          <w:spacing w:val="4"/>
          <w:sz w:val="32"/>
          <w:szCs w:val="32"/>
          <w:lang w:eastAsia="zh-CN"/>
        </w:rPr>
        <w:t>高水平管弦乐团专业合格考生，按照我校招生计划数，</w:t>
      </w:r>
      <w:r>
        <w:rPr>
          <w:rFonts w:hint="eastAsia" w:ascii="仿宋_GB2312" w:hAnsi="仿宋_GB2312" w:eastAsia="仿宋_GB2312" w:cs="仿宋_GB2312"/>
          <w:color w:val="auto"/>
          <w:lang w:eastAsia="zh-CN"/>
        </w:rPr>
        <w:t>根据报考志愿按综合成绩从高到低录取，确定该专业录取分数线，同时要求考生文化成绩不得低于</w:t>
      </w:r>
      <w:r>
        <w:rPr>
          <w:rFonts w:hint="eastAsia" w:ascii="仿宋_GB2312" w:hAnsi="仿宋_GB2312" w:eastAsia="仿宋_GB2312" w:cs="仿宋_GB2312"/>
          <w:color w:val="auto"/>
          <w:sz w:val="32"/>
          <w:szCs w:val="32"/>
          <w:lang w:eastAsia="zh-CN"/>
        </w:rPr>
        <w:t>我校普通生资格线75%。</w:t>
      </w:r>
    </w:p>
    <w:p w14:paraId="761F4791">
      <w:pPr>
        <w:pStyle w:val="2"/>
        <w:spacing w:line="578" w:lineRule="exact"/>
        <w:ind w:firstLine="656" w:firstLineChars="200"/>
        <w:rPr>
          <w:rFonts w:ascii="仿宋_GB2312" w:hAnsi="仿宋_GB2312" w:eastAsia="仿宋_GB2312" w:cs="仿宋_GB2312"/>
          <w:color w:val="auto"/>
          <w:lang w:eastAsia="zh-CN"/>
        </w:rPr>
      </w:pPr>
      <w:r>
        <w:rPr>
          <w:rFonts w:hint="eastAsia" w:ascii="仿宋_GB2312" w:hAnsi="仿宋_GB2312" w:eastAsia="仿宋_GB2312" w:cs="仿宋_GB2312"/>
          <w:color w:val="auto"/>
          <w:spacing w:val="4"/>
          <w:sz w:val="32"/>
          <w:szCs w:val="32"/>
          <w:lang w:eastAsia="zh-CN"/>
        </w:rPr>
        <w:t>美术、声乐专业合格考生，按照我校招生计划数，根据</w:t>
      </w:r>
      <w:r>
        <w:rPr>
          <w:rFonts w:hint="eastAsia" w:ascii="仿宋_GB2312" w:hAnsi="仿宋_GB2312" w:eastAsia="仿宋_GB2312" w:cs="仿宋_GB2312"/>
          <w:color w:val="auto"/>
          <w:lang w:eastAsia="zh-CN"/>
        </w:rPr>
        <w:t>报考志愿按综合成绩从高到低录取，确定该专业录取分数线，同时要求考生文化成绩不得低于</w:t>
      </w:r>
      <w:r>
        <w:rPr>
          <w:rFonts w:hint="eastAsia" w:ascii="仿宋_GB2312" w:hAnsi="仿宋_GB2312" w:eastAsia="仿宋_GB2312" w:cs="仿宋_GB2312"/>
          <w:color w:val="auto"/>
          <w:sz w:val="32"/>
          <w:szCs w:val="32"/>
          <w:lang w:eastAsia="zh-CN"/>
        </w:rPr>
        <w:t>我校普通生资格线85%。</w:t>
      </w:r>
    </w:p>
    <w:p w14:paraId="314E2130">
      <w:pPr>
        <w:pStyle w:val="2"/>
        <w:spacing w:line="578" w:lineRule="exact"/>
        <w:ind w:firstLine="640" w:firstLineChars="200"/>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体育专业合格考生，</w:t>
      </w:r>
      <w:r>
        <w:rPr>
          <w:rFonts w:hint="eastAsia" w:ascii="仿宋_GB2312" w:hAnsi="仿宋_GB2312" w:eastAsia="仿宋_GB2312" w:cs="仿宋_GB2312"/>
          <w:color w:val="auto"/>
          <w:spacing w:val="4"/>
          <w:sz w:val="32"/>
          <w:szCs w:val="32"/>
          <w:lang w:eastAsia="zh-CN"/>
        </w:rPr>
        <w:t>按照我校各项目招生计划数，</w:t>
      </w:r>
      <w:r>
        <w:rPr>
          <w:rFonts w:hint="eastAsia" w:ascii="仿宋_GB2312" w:hAnsi="仿宋_GB2312" w:eastAsia="仿宋_GB2312" w:cs="仿宋_GB2312"/>
          <w:color w:val="auto"/>
          <w:sz w:val="32"/>
          <w:szCs w:val="32"/>
          <w:lang w:eastAsia="zh-CN"/>
        </w:rPr>
        <w:t>根据报考志愿按综合成绩从高到低录取，确定各项目录取分数线，同时要求考生文化成绩不得低于200分。</w:t>
      </w:r>
    </w:p>
    <w:p w14:paraId="7B2EBD52">
      <w:pPr>
        <w:pStyle w:val="7"/>
        <w:spacing w:line="578" w:lineRule="exact"/>
        <w:ind w:left="0" w:leftChars="0" w:firstLine="640"/>
        <w:rPr>
          <w:color w:val="auto"/>
          <w:sz w:val="32"/>
          <w:szCs w:val="32"/>
          <w:lang w:eastAsia="zh-CN"/>
        </w:rPr>
      </w:pPr>
      <w:r>
        <w:rPr>
          <w:rFonts w:hint="eastAsia" w:ascii="仿宋_GB2312" w:hAnsi="仿宋_GB2312" w:eastAsia="仿宋_GB2312" w:cs="仿宋_GB2312"/>
          <w:color w:val="auto"/>
          <w:sz w:val="32"/>
          <w:szCs w:val="32"/>
          <w:lang w:eastAsia="zh-CN"/>
        </w:rPr>
        <w:t>综合成绩计算办法如下：</w:t>
      </w:r>
    </w:p>
    <w:p w14:paraId="3A7CD097">
      <w:pPr>
        <w:spacing w:line="578" w:lineRule="exact"/>
        <w:ind w:firstLine="643" w:firstLineChars="200"/>
        <w:rPr>
          <w:rFonts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highlight w:val="none"/>
          <w:lang w:eastAsia="zh-CN"/>
        </w:rPr>
        <w:t>高水平管弦乐团、</w:t>
      </w:r>
      <w:r>
        <w:rPr>
          <w:rFonts w:hint="eastAsia" w:ascii="仿宋_GB2312" w:hAnsi="仿宋_GB2312" w:eastAsia="仿宋_GB2312" w:cs="仿宋_GB2312"/>
          <w:b/>
          <w:bCs/>
          <w:color w:val="auto"/>
          <w:sz w:val="32"/>
          <w:szCs w:val="32"/>
          <w:lang w:eastAsia="zh-CN"/>
        </w:rPr>
        <w:t>美术、声乐专业：</w:t>
      </w:r>
    </w:p>
    <w:p w14:paraId="31A4B7E1">
      <w:pPr>
        <w:pStyle w:val="7"/>
        <w:ind w:left="0" w:leftChars="0" w:firstLine="640"/>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综合成绩=</w:t>
      </w:r>
      <w:r>
        <w:rPr>
          <w:rFonts w:hint="eastAsia" w:ascii="仿宋_GB2312" w:hAnsi="仿宋_GB2312" w:eastAsia="仿宋_GB2312" w:cs="仿宋_GB2312"/>
          <w:color w:val="auto"/>
          <w:position w:val="-26"/>
          <w:sz w:val="32"/>
          <w:szCs w:val="32"/>
        </w:rPr>
        <w:object>
          <v:shape id="_x0000_i1025" o:spt="75" type="#_x0000_t75" style="height:41.25pt;width:135pt;" o:ole="t" filled="f" o:preferrelative="t" stroked="f" coordsize="21600,21600">
            <v:path/>
            <v:fill on="f" focussize="0,0"/>
            <v:stroke on="f" joinstyle="miter"/>
            <v:imagedata r:id="rId5" o:title=""/>
            <o:lock v:ext="edit" aspectratio="t"/>
            <w10:wrap type="none"/>
            <w10:anchorlock/>
          </v:shape>
          <o:OLEObject Type="Embed" ProgID="Equation.KSEE3" ShapeID="_x0000_i1025" DrawAspect="Content" ObjectID="_1468075725" r:id="rId4">
            <o:LockedField>false</o:LockedField>
          </o:OLEObject>
        </w:object>
      </w:r>
      <w:r>
        <w:rPr>
          <w:rFonts w:hint="eastAsia" w:ascii="仿宋_GB2312" w:hAnsi="仿宋_GB2312" w:eastAsia="仿宋_GB2312" w:cs="仿宋_GB2312"/>
          <w:color w:val="auto"/>
          <w:sz w:val="32"/>
          <w:szCs w:val="32"/>
          <w:lang w:eastAsia="zh-CN"/>
        </w:rPr>
        <w:t>+文化成绩×50%</w:t>
      </w:r>
    </w:p>
    <w:p w14:paraId="18F77B83">
      <w:pPr>
        <w:spacing w:line="578" w:lineRule="exact"/>
        <w:ind w:firstLine="643" w:firstLineChars="200"/>
        <w:rPr>
          <w:rFonts w:ascii="仿宋_GB2312" w:hAnsi="仿宋_GB2312" w:eastAsia="仿宋_GB2312" w:cs="仿宋_GB2312"/>
          <w:b/>
          <w:bCs/>
          <w:color w:val="auto"/>
          <w:sz w:val="32"/>
          <w:szCs w:val="32"/>
          <w:lang w:eastAsia="zh-CN"/>
        </w:rPr>
      </w:pPr>
      <w:r>
        <w:rPr>
          <w:rFonts w:hint="eastAsia" w:ascii="仿宋_GB2312" w:hAnsi="仿宋_GB2312" w:eastAsia="仿宋_GB2312" w:cs="仿宋_GB2312"/>
          <w:b/>
          <w:bCs/>
          <w:color w:val="auto"/>
          <w:sz w:val="32"/>
          <w:szCs w:val="32"/>
          <w:lang w:eastAsia="zh-CN"/>
        </w:rPr>
        <w:t>体育专业：</w:t>
      </w:r>
    </w:p>
    <w:p w14:paraId="6A2357BC">
      <w:pPr>
        <w:ind w:firstLine="640" w:firstLineChars="200"/>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综合成绩=</w:t>
      </w:r>
      <w:r>
        <w:rPr>
          <w:rFonts w:hint="eastAsia" w:ascii="仿宋_GB2312" w:hAnsi="仿宋_GB2312" w:eastAsia="仿宋_GB2312" w:cs="仿宋_GB2312"/>
          <w:color w:val="auto"/>
          <w:position w:val="-26"/>
          <w:sz w:val="32"/>
          <w:szCs w:val="32"/>
        </w:rPr>
        <w:object>
          <v:shape id="_x0000_i1026" o:spt="75" type="#_x0000_t75" style="height:41.25pt;width:136.5pt;" o:ole="t" filled="f" o:preferrelative="t" stroked="f" coordsize="21600,21600">
            <v:path/>
            <v:fill on="f" focussize="0,0"/>
            <v:stroke on="f" joinstyle="miter"/>
            <v:imagedata r:id="rId7" o:title=""/>
            <o:lock v:ext="edit" aspectratio="t"/>
            <w10:wrap type="none"/>
            <w10:anchorlock/>
          </v:shape>
          <o:OLEObject Type="Embed" ProgID="Equation.KSEE3" ShapeID="_x0000_i1026" DrawAspect="Content" ObjectID="_1468075726" r:id="rId6">
            <o:LockedField>false</o:LockedField>
          </o:OLEObject>
        </w:object>
      </w:r>
      <w:r>
        <w:rPr>
          <w:rFonts w:hint="eastAsia" w:ascii="仿宋_GB2312" w:hAnsi="仿宋_GB2312" w:eastAsia="仿宋_GB2312" w:cs="仿宋_GB2312"/>
          <w:color w:val="auto"/>
          <w:sz w:val="32"/>
          <w:szCs w:val="32"/>
          <w:lang w:eastAsia="zh-CN"/>
        </w:rPr>
        <w:t>+文化成绩</w:t>
      </w:r>
      <w:r>
        <w:rPr>
          <w:rFonts w:hint="eastAsia" w:ascii="仿宋_GB2312" w:hAnsi="仿宋_GB2312" w:eastAsia="仿宋_GB2312" w:cs="仿宋_GB2312"/>
          <w:color w:val="auto"/>
          <w:kern w:val="2"/>
          <w:sz w:val="32"/>
          <w:szCs w:val="32"/>
          <w:lang w:eastAsia="zh-CN"/>
        </w:rPr>
        <w:t>×30%</w:t>
      </w:r>
    </w:p>
    <w:p w14:paraId="067892FC">
      <w:pPr>
        <w:pStyle w:val="2"/>
        <w:spacing w:line="578" w:lineRule="exact"/>
        <w:ind w:firstLine="640" w:firstLineChars="200"/>
        <w:rPr>
          <w:rFonts w:ascii="仿宋_GB2312" w:hAnsi="仿宋_GB2312" w:eastAsia="仿宋_GB2312" w:cs="仿宋_GB2312"/>
          <w:color w:val="auto"/>
          <w:lang w:eastAsia="zh-CN"/>
        </w:rPr>
      </w:pPr>
      <w:r>
        <w:rPr>
          <w:rFonts w:hint="eastAsia" w:ascii="仿宋_GB2312" w:hAnsi="仿宋_GB2312" w:eastAsia="仿宋_GB2312" w:cs="仿宋_GB2312"/>
          <w:color w:val="auto"/>
          <w:sz w:val="32"/>
          <w:szCs w:val="32"/>
          <w:lang w:eastAsia="zh-CN"/>
        </w:rPr>
        <w:t>以上各专业（项目）</w:t>
      </w:r>
      <w:r>
        <w:rPr>
          <w:rFonts w:hint="eastAsia" w:ascii="仿宋_GB2312" w:hAnsi="仿宋_GB2312" w:eastAsia="仿宋_GB2312" w:cs="仿宋_GB2312"/>
          <w:color w:val="auto"/>
          <w:spacing w:val="4"/>
          <w:sz w:val="32"/>
          <w:szCs w:val="32"/>
          <w:lang w:eastAsia="zh-CN"/>
        </w:rPr>
        <w:t>完不成招生计划的，不做计划调整。</w:t>
      </w:r>
    </w:p>
    <w:p w14:paraId="409EB239">
      <w:pPr>
        <w:adjustRightInd/>
        <w:snapToGrid/>
        <w:spacing w:line="360" w:lineRule="auto"/>
        <w:ind w:firstLine="652" w:firstLineChars="200"/>
        <w:rPr>
          <w:rFonts w:ascii="黑体" w:hAnsi="黑体" w:eastAsia="黑体" w:cs="黑体"/>
          <w:color w:val="auto"/>
          <w:spacing w:val="8"/>
          <w:sz w:val="31"/>
          <w:szCs w:val="31"/>
          <w:lang w:eastAsia="zh-CN"/>
        </w:rPr>
      </w:pPr>
    </w:p>
    <w:p w14:paraId="1F34CD3D">
      <w:pPr>
        <w:adjustRightInd/>
        <w:snapToGrid/>
        <w:spacing w:line="360" w:lineRule="auto"/>
        <w:ind w:firstLine="652" w:firstLineChars="200"/>
        <w:rPr>
          <w:rFonts w:ascii="黑体" w:hAnsi="黑体" w:eastAsia="黑体" w:cs="黑体"/>
          <w:color w:val="auto"/>
          <w:sz w:val="31"/>
          <w:szCs w:val="31"/>
          <w:lang w:eastAsia="zh-CN"/>
        </w:rPr>
      </w:pPr>
      <w:r>
        <w:rPr>
          <w:rFonts w:hint="eastAsia" w:ascii="黑体" w:hAnsi="黑体" w:eastAsia="黑体" w:cs="黑体"/>
          <w:color w:val="auto"/>
          <w:spacing w:val="8"/>
          <w:sz w:val="31"/>
          <w:szCs w:val="31"/>
          <w:lang w:eastAsia="zh-CN"/>
        </w:rPr>
        <w:t>六</w:t>
      </w:r>
      <w:r>
        <w:rPr>
          <w:rFonts w:ascii="黑体" w:hAnsi="黑体" w:eastAsia="黑体" w:cs="黑体"/>
          <w:color w:val="auto"/>
          <w:spacing w:val="8"/>
          <w:sz w:val="31"/>
          <w:szCs w:val="31"/>
          <w:lang w:eastAsia="zh-CN"/>
        </w:rPr>
        <w:t>、</w:t>
      </w:r>
      <w:r>
        <w:rPr>
          <w:rFonts w:hint="eastAsia" w:ascii="黑体" w:hAnsi="黑体" w:eastAsia="黑体" w:cs="黑体"/>
          <w:color w:val="auto"/>
          <w:spacing w:val="8"/>
          <w:sz w:val="31"/>
          <w:szCs w:val="31"/>
          <w:lang w:eastAsia="zh-CN"/>
        </w:rPr>
        <w:t>政策</w:t>
      </w:r>
      <w:r>
        <w:rPr>
          <w:rFonts w:ascii="黑体" w:hAnsi="黑体" w:eastAsia="黑体" w:cs="黑体"/>
          <w:color w:val="auto"/>
          <w:spacing w:val="8"/>
          <w:sz w:val="31"/>
          <w:szCs w:val="31"/>
          <w:lang w:eastAsia="zh-CN"/>
        </w:rPr>
        <w:t>咨询</w:t>
      </w:r>
      <w:r>
        <w:rPr>
          <w:rFonts w:hint="eastAsia" w:ascii="黑体" w:hAnsi="黑体" w:eastAsia="黑体" w:cs="黑体"/>
          <w:color w:val="auto"/>
          <w:spacing w:val="8"/>
          <w:sz w:val="31"/>
          <w:szCs w:val="31"/>
          <w:lang w:eastAsia="zh-CN"/>
        </w:rPr>
        <w:t>方式</w:t>
      </w:r>
    </w:p>
    <w:p w14:paraId="0C4E1CCE">
      <w:pPr>
        <w:pStyle w:val="2"/>
        <w:adjustRightInd/>
        <w:snapToGrid/>
        <w:spacing w:line="360" w:lineRule="auto"/>
        <w:ind w:firstLine="640" w:firstLineChars="200"/>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咨询电话：59313</w:t>
      </w:r>
      <w:r>
        <w:rPr>
          <w:rFonts w:ascii="仿宋_GB2312" w:hAnsi="仿宋_GB2312" w:eastAsia="仿宋_GB2312" w:cs="仿宋_GB2312"/>
          <w:color w:val="auto"/>
          <w:sz w:val="32"/>
          <w:szCs w:val="32"/>
          <w:lang w:eastAsia="zh-CN"/>
        </w:rPr>
        <w:t>77</w:t>
      </w:r>
      <w:r>
        <w:rPr>
          <w:rFonts w:hint="eastAsia" w:ascii="仿宋_GB2312" w:hAnsi="仿宋_GB2312" w:eastAsia="仿宋_GB2312" w:cs="仿宋_GB2312"/>
          <w:color w:val="auto"/>
          <w:sz w:val="32"/>
          <w:szCs w:val="32"/>
          <w:lang w:eastAsia="zh-CN"/>
        </w:rPr>
        <w:t>，联系人：孙老师</w:t>
      </w:r>
    </w:p>
    <w:p w14:paraId="4B9FD94A">
      <w:pPr>
        <w:adjustRightInd/>
        <w:snapToGrid/>
        <w:spacing w:line="360" w:lineRule="auto"/>
        <w:ind w:firstLine="420" w:firstLineChars="200"/>
        <w:rPr>
          <w:color w:val="auto"/>
          <w:lang w:eastAsia="zh-CN"/>
        </w:rPr>
      </w:pPr>
    </w:p>
    <w:p w14:paraId="757927D3">
      <w:pPr>
        <w:pStyle w:val="2"/>
        <w:adjustRightInd/>
        <w:snapToGrid/>
        <w:spacing w:line="578" w:lineRule="exact"/>
        <w:ind w:firstLine="652" w:firstLineChars="200"/>
        <w:jc w:val="both"/>
        <w:rPr>
          <w:color w:val="auto"/>
          <w:spacing w:val="8"/>
          <w:position w:val="19"/>
          <w:lang w:eastAsia="zh-CN"/>
        </w:rPr>
      </w:pPr>
      <w:r>
        <w:rPr>
          <w:rFonts w:hint="eastAsia"/>
          <w:color w:val="auto"/>
          <w:spacing w:val="8"/>
          <w:position w:val="19"/>
          <w:lang w:eastAsia="zh-CN"/>
        </w:rPr>
        <w:t>附件 1：威海市实验高级中学202</w:t>
      </w:r>
      <w:r>
        <w:rPr>
          <w:color w:val="auto"/>
          <w:spacing w:val="8"/>
          <w:position w:val="19"/>
          <w:lang w:eastAsia="zh-CN"/>
        </w:rPr>
        <w:t>5</w:t>
      </w:r>
      <w:r>
        <w:rPr>
          <w:rFonts w:hint="eastAsia"/>
          <w:color w:val="auto"/>
          <w:spacing w:val="8"/>
          <w:position w:val="19"/>
          <w:lang w:eastAsia="zh-CN"/>
        </w:rPr>
        <w:t>年高水平管弦乐团特长生专业考试说明</w:t>
      </w:r>
    </w:p>
    <w:p w14:paraId="6D38F55C">
      <w:pPr>
        <w:adjustRightInd/>
        <w:snapToGrid/>
        <w:spacing w:line="360" w:lineRule="auto"/>
        <w:ind w:firstLine="420" w:firstLineChars="200"/>
        <w:rPr>
          <w:color w:val="auto"/>
          <w:lang w:eastAsia="zh-CN"/>
        </w:rPr>
      </w:pPr>
    </w:p>
    <w:p w14:paraId="5249EC71">
      <w:pPr>
        <w:adjustRightInd/>
        <w:snapToGrid/>
        <w:spacing w:line="360" w:lineRule="auto"/>
        <w:ind w:firstLine="420" w:firstLineChars="200"/>
        <w:rPr>
          <w:color w:val="auto"/>
          <w:lang w:eastAsia="zh-CN"/>
        </w:rPr>
      </w:pPr>
    </w:p>
    <w:p w14:paraId="56F84344">
      <w:pPr>
        <w:pStyle w:val="2"/>
        <w:adjustRightInd/>
        <w:snapToGrid/>
        <w:spacing w:line="360" w:lineRule="auto"/>
        <w:ind w:firstLine="652" w:firstLineChars="200"/>
        <w:jc w:val="right"/>
        <w:rPr>
          <w:color w:val="auto"/>
          <w:lang w:eastAsia="zh-CN"/>
        </w:rPr>
      </w:pPr>
      <w:r>
        <w:rPr>
          <w:color w:val="auto"/>
          <w:spacing w:val="8"/>
          <w:position w:val="19"/>
          <w:lang w:eastAsia="zh-CN"/>
        </w:rPr>
        <w:t>威海市实验高级中学</w:t>
      </w:r>
    </w:p>
    <w:p w14:paraId="497C44CE">
      <w:pPr>
        <w:pStyle w:val="2"/>
        <w:adjustRightInd/>
        <w:snapToGrid/>
        <w:spacing w:line="360" w:lineRule="auto"/>
        <w:ind w:firstLine="652" w:firstLineChars="200"/>
        <w:jc w:val="right"/>
        <w:rPr>
          <w:color w:val="auto"/>
          <w:spacing w:val="8"/>
          <w:position w:val="19"/>
          <w:lang w:eastAsia="zh-CN"/>
        </w:rPr>
      </w:pPr>
      <w:r>
        <w:rPr>
          <w:color w:val="auto"/>
          <w:spacing w:val="8"/>
          <w:position w:val="19"/>
          <w:lang w:eastAsia="zh-CN"/>
        </w:rPr>
        <w:t>2025年3月10日</w:t>
      </w:r>
    </w:p>
    <w:p w14:paraId="73068337">
      <w:pPr>
        <w:pStyle w:val="2"/>
        <w:adjustRightInd/>
        <w:snapToGrid/>
        <w:spacing w:line="360" w:lineRule="auto"/>
        <w:ind w:firstLine="652" w:firstLineChars="200"/>
        <w:jc w:val="right"/>
        <w:rPr>
          <w:color w:val="auto"/>
          <w:spacing w:val="8"/>
          <w:position w:val="19"/>
          <w:lang w:eastAsia="zh-CN"/>
        </w:rPr>
      </w:pPr>
    </w:p>
    <w:p w14:paraId="497487B6">
      <w:pPr>
        <w:pStyle w:val="2"/>
        <w:adjustRightInd/>
        <w:snapToGrid/>
        <w:spacing w:line="360" w:lineRule="auto"/>
        <w:ind w:firstLine="652" w:firstLineChars="200"/>
        <w:jc w:val="right"/>
        <w:rPr>
          <w:color w:val="auto"/>
          <w:spacing w:val="8"/>
          <w:position w:val="19"/>
          <w:lang w:eastAsia="zh-CN"/>
        </w:rPr>
      </w:pPr>
    </w:p>
    <w:p w14:paraId="67E54218">
      <w:pPr>
        <w:pStyle w:val="2"/>
        <w:adjustRightInd/>
        <w:snapToGrid/>
        <w:spacing w:line="360" w:lineRule="auto"/>
        <w:ind w:firstLine="652" w:firstLineChars="200"/>
        <w:jc w:val="right"/>
        <w:rPr>
          <w:color w:val="auto"/>
          <w:spacing w:val="8"/>
          <w:position w:val="19"/>
          <w:lang w:eastAsia="zh-CN"/>
        </w:rPr>
      </w:pPr>
    </w:p>
    <w:p w14:paraId="74D1AD8E">
      <w:pPr>
        <w:spacing w:line="578" w:lineRule="exact"/>
        <w:rPr>
          <w:rFonts w:ascii="方正小标宋简体" w:hAnsi="方正小标宋简体" w:eastAsia="方正小标宋简体" w:cs="方正小标宋简体"/>
          <w:color w:val="auto"/>
          <w:sz w:val="44"/>
          <w:szCs w:val="44"/>
          <w:lang w:eastAsia="zh-CN"/>
        </w:rPr>
      </w:pPr>
    </w:p>
    <w:p w14:paraId="234E3421">
      <w:pPr>
        <w:spacing w:line="578" w:lineRule="exact"/>
        <w:rPr>
          <w:rFonts w:ascii="黑体" w:hAnsi="黑体" w:eastAsia="黑体" w:cs="黑体"/>
          <w:color w:val="auto"/>
          <w:sz w:val="44"/>
          <w:szCs w:val="44"/>
          <w:lang w:eastAsia="zh-CN"/>
        </w:rPr>
      </w:pPr>
      <w:r>
        <w:rPr>
          <w:rFonts w:hint="eastAsia" w:ascii="黑体" w:hAnsi="黑体" w:eastAsia="黑体" w:cs="黑体"/>
          <w:color w:val="auto"/>
          <w:sz w:val="44"/>
          <w:szCs w:val="44"/>
          <w:lang w:eastAsia="zh-CN"/>
        </w:rPr>
        <w:t>附件1</w:t>
      </w:r>
    </w:p>
    <w:p w14:paraId="79D6E76F">
      <w:pPr>
        <w:spacing w:line="578" w:lineRule="exact"/>
        <w:jc w:val="center"/>
        <w:rPr>
          <w:rFonts w:ascii="方正小标宋简体" w:hAnsi="方正小标宋简体" w:eastAsia="方正小标宋简体" w:cs="方正小标宋简体"/>
          <w:color w:val="auto"/>
          <w:sz w:val="44"/>
          <w:szCs w:val="44"/>
          <w:lang w:eastAsia="zh-CN"/>
        </w:rPr>
      </w:pPr>
      <w:r>
        <w:rPr>
          <w:rFonts w:hint="eastAsia" w:ascii="方正小标宋简体" w:hAnsi="方正小标宋简体" w:eastAsia="方正小标宋简体" w:cs="方正小标宋简体"/>
          <w:color w:val="auto"/>
          <w:sz w:val="44"/>
          <w:szCs w:val="44"/>
          <w:lang w:eastAsia="zh-CN"/>
        </w:rPr>
        <w:t>威海市实验高级中学</w:t>
      </w:r>
    </w:p>
    <w:p w14:paraId="0F9E0B0D">
      <w:pPr>
        <w:spacing w:line="578" w:lineRule="exact"/>
        <w:jc w:val="center"/>
        <w:rPr>
          <w:rFonts w:ascii="方正小标宋简体" w:hAnsi="方正小标宋简体" w:eastAsia="方正小标宋简体" w:cs="方正小标宋简体"/>
          <w:color w:val="auto"/>
          <w:sz w:val="44"/>
          <w:szCs w:val="44"/>
          <w:lang w:eastAsia="zh-CN"/>
        </w:rPr>
      </w:pPr>
      <w:r>
        <w:rPr>
          <w:rFonts w:hint="eastAsia" w:ascii="方正小标宋简体" w:hAnsi="方正小标宋简体" w:eastAsia="方正小标宋简体" w:cs="方正小标宋简体"/>
          <w:color w:val="auto"/>
          <w:sz w:val="44"/>
          <w:szCs w:val="44"/>
          <w:lang w:eastAsia="zh-CN"/>
        </w:rPr>
        <w:t>202</w:t>
      </w:r>
      <w:r>
        <w:rPr>
          <w:rFonts w:ascii="方正小标宋简体" w:hAnsi="方正小标宋简体" w:eastAsia="方正小标宋简体" w:cs="方正小标宋简体"/>
          <w:color w:val="auto"/>
          <w:sz w:val="44"/>
          <w:szCs w:val="44"/>
          <w:lang w:eastAsia="zh-CN"/>
        </w:rPr>
        <w:t>5</w:t>
      </w:r>
      <w:r>
        <w:rPr>
          <w:rFonts w:hint="eastAsia" w:ascii="方正小标宋简体" w:hAnsi="方正小标宋简体" w:eastAsia="方正小标宋简体" w:cs="方正小标宋简体"/>
          <w:color w:val="auto"/>
          <w:sz w:val="44"/>
          <w:szCs w:val="44"/>
          <w:lang w:eastAsia="zh-CN"/>
        </w:rPr>
        <w:t>年高水平管弦乐团特长生专业</w:t>
      </w:r>
    </w:p>
    <w:p w14:paraId="3D77288D">
      <w:pPr>
        <w:spacing w:line="578" w:lineRule="exact"/>
        <w:jc w:val="center"/>
        <w:rPr>
          <w:rFonts w:ascii="方正小标宋简体" w:hAnsi="方正小标宋简体" w:eastAsia="方正小标宋简体" w:cs="方正小标宋简体"/>
          <w:color w:val="auto"/>
          <w:sz w:val="44"/>
          <w:szCs w:val="44"/>
          <w:lang w:eastAsia="zh-CN"/>
        </w:rPr>
      </w:pPr>
      <w:r>
        <w:rPr>
          <w:rFonts w:hint="eastAsia" w:ascii="方正小标宋简体" w:hAnsi="方正小标宋简体" w:eastAsia="方正小标宋简体" w:cs="方正小标宋简体"/>
          <w:color w:val="auto"/>
          <w:sz w:val="44"/>
          <w:szCs w:val="44"/>
          <w:lang w:eastAsia="zh-CN"/>
        </w:rPr>
        <w:t>考试说明</w:t>
      </w:r>
    </w:p>
    <w:p w14:paraId="7FA0A4B8">
      <w:pPr>
        <w:spacing w:line="578" w:lineRule="exact"/>
        <w:ind w:firstLine="656" w:firstLineChars="200"/>
        <w:rPr>
          <w:rFonts w:ascii="黑体" w:hAnsi="黑体" w:eastAsia="黑体" w:cs="黑体"/>
          <w:color w:val="auto"/>
          <w:spacing w:val="4"/>
          <w:sz w:val="32"/>
          <w:szCs w:val="32"/>
          <w:lang w:eastAsia="zh-CN"/>
        </w:rPr>
      </w:pPr>
      <w:r>
        <w:rPr>
          <w:rFonts w:hint="eastAsia" w:ascii="黑体" w:hAnsi="黑体" w:eastAsia="黑体" w:cs="黑体"/>
          <w:color w:val="auto"/>
          <w:spacing w:val="4"/>
          <w:sz w:val="32"/>
          <w:szCs w:val="32"/>
          <w:lang w:eastAsia="zh-CN"/>
        </w:rPr>
        <w:t>一、考试内容及形式</w:t>
      </w:r>
    </w:p>
    <w:p w14:paraId="24AE9AAA">
      <w:pPr>
        <w:spacing w:line="578" w:lineRule="exact"/>
        <w:ind w:firstLine="636" w:firstLineChars="200"/>
        <w:rPr>
          <w:rFonts w:ascii="楷体_GB2312" w:hAnsi="楷体_GB2312" w:eastAsia="楷体_GB2312" w:cs="楷体_GB2312"/>
          <w:color w:val="auto"/>
          <w:lang w:eastAsia="zh-CN"/>
        </w:rPr>
      </w:pPr>
      <w:r>
        <w:rPr>
          <w:rFonts w:hint="eastAsia" w:ascii="楷体_GB2312" w:hAnsi="楷体_GB2312" w:eastAsia="楷体_GB2312" w:cs="楷体_GB2312"/>
          <w:color w:val="auto"/>
          <w:spacing w:val="4"/>
          <w:sz w:val="31"/>
          <w:szCs w:val="31"/>
          <w:lang w:eastAsia="zh-CN"/>
        </w:rPr>
        <w:t>（一）考试内容</w:t>
      </w:r>
    </w:p>
    <w:p w14:paraId="185C08AD">
      <w:pPr>
        <w:pStyle w:val="2"/>
        <w:spacing w:line="578" w:lineRule="exact"/>
        <w:ind w:right="1" w:firstLine="628" w:firstLineChars="200"/>
        <w:jc w:val="both"/>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pacing w:val="-3"/>
          <w:sz w:val="32"/>
          <w:szCs w:val="32"/>
          <w:lang w:eastAsia="zh-CN"/>
        </w:rPr>
        <w:t>1.专业技能考试（60分）。演奏自选作品1首，要</w:t>
      </w:r>
      <w:r>
        <w:rPr>
          <w:rFonts w:hint="eastAsia" w:ascii="仿宋_GB2312" w:hAnsi="仿宋_GB2312" w:eastAsia="仿宋_GB2312" w:cs="仿宋_GB2312"/>
          <w:color w:val="auto"/>
          <w:spacing w:val="-4"/>
          <w:sz w:val="32"/>
          <w:szCs w:val="32"/>
          <w:lang w:eastAsia="zh-CN"/>
        </w:rPr>
        <w:t>求思</w:t>
      </w:r>
      <w:r>
        <w:rPr>
          <w:rFonts w:hint="eastAsia" w:ascii="仿宋_GB2312" w:hAnsi="仿宋_GB2312" w:eastAsia="仿宋_GB2312" w:cs="仿宋_GB2312"/>
          <w:color w:val="auto"/>
          <w:spacing w:val="-3"/>
          <w:sz w:val="32"/>
          <w:szCs w:val="32"/>
          <w:lang w:eastAsia="zh-CN"/>
        </w:rPr>
        <w:t>想内容健康向上，可以是中、外各种不同题材和风格的乐曲。</w:t>
      </w:r>
      <w:r>
        <w:rPr>
          <w:rFonts w:hint="eastAsia" w:ascii="仿宋_GB2312" w:hAnsi="仿宋_GB2312" w:eastAsia="仿宋_GB2312" w:cs="仿宋_GB2312"/>
          <w:color w:val="auto"/>
          <w:spacing w:val="15"/>
          <w:sz w:val="32"/>
          <w:szCs w:val="32"/>
          <w:lang w:eastAsia="zh-CN"/>
        </w:rPr>
        <w:t>考核演奏效果、演奏技巧、作品表现能力。（①考试曲目不</w:t>
      </w:r>
      <w:r>
        <w:rPr>
          <w:rFonts w:hint="eastAsia" w:ascii="仿宋_GB2312" w:hAnsi="仿宋_GB2312" w:eastAsia="仿宋_GB2312" w:cs="仿宋_GB2312"/>
          <w:color w:val="auto"/>
          <w:sz w:val="32"/>
          <w:szCs w:val="32"/>
          <w:lang w:eastAsia="zh-CN"/>
        </w:rPr>
        <w:t>超过5分钟，超时评委有权叫停。②现场演奏，不准</w:t>
      </w:r>
      <w:r>
        <w:rPr>
          <w:rFonts w:hint="eastAsia" w:ascii="仿宋_GB2312" w:hAnsi="仿宋_GB2312" w:eastAsia="仿宋_GB2312" w:cs="仿宋_GB2312"/>
          <w:color w:val="auto"/>
          <w:spacing w:val="-1"/>
          <w:sz w:val="32"/>
          <w:szCs w:val="32"/>
          <w:lang w:eastAsia="zh-CN"/>
        </w:rPr>
        <w:t>使用伴</w:t>
      </w:r>
      <w:r>
        <w:rPr>
          <w:rFonts w:hint="eastAsia" w:ascii="仿宋_GB2312" w:hAnsi="仿宋_GB2312" w:eastAsia="仿宋_GB2312" w:cs="仿宋_GB2312"/>
          <w:color w:val="auto"/>
          <w:spacing w:val="3"/>
          <w:sz w:val="32"/>
          <w:szCs w:val="32"/>
          <w:lang w:eastAsia="zh-CN"/>
        </w:rPr>
        <w:t>奏。</w:t>
      </w:r>
      <w:r>
        <w:rPr>
          <w:rFonts w:hint="eastAsia" w:ascii="仿宋_GB2312" w:hAnsi="仿宋_GB2312" w:eastAsia="仿宋_GB2312" w:cs="仿宋_GB2312"/>
          <w:color w:val="auto"/>
          <w:spacing w:val="15"/>
          <w:sz w:val="32"/>
          <w:szCs w:val="32"/>
          <w:lang w:eastAsia="zh-CN"/>
        </w:rPr>
        <w:t>）</w:t>
      </w:r>
    </w:p>
    <w:p w14:paraId="392F1E88">
      <w:pPr>
        <w:pStyle w:val="2"/>
        <w:spacing w:line="578" w:lineRule="exact"/>
        <w:ind w:firstLine="668" w:firstLineChars="200"/>
        <w:jc w:val="both"/>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pacing w:val="7"/>
          <w:sz w:val="32"/>
          <w:szCs w:val="32"/>
          <w:lang w:eastAsia="zh-CN"/>
        </w:rPr>
        <w:t>2.基本功考试（24分）。管乐考生自选一组音阶跨度为</w:t>
      </w:r>
      <w:r>
        <w:rPr>
          <w:rFonts w:hint="eastAsia" w:ascii="仿宋_GB2312" w:hAnsi="仿宋_GB2312" w:eastAsia="仿宋_GB2312" w:cs="仿宋_GB2312"/>
          <w:color w:val="auto"/>
          <w:sz w:val="32"/>
          <w:szCs w:val="32"/>
          <w:lang w:eastAsia="zh-CN"/>
        </w:rPr>
        <w:t>12度的关系大小调音阶及琶音，用连音和</w:t>
      </w:r>
      <w:r>
        <w:rPr>
          <w:rFonts w:hint="eastAsia" w:ascii="仿宋_GB2312" w:hAnsi="仿宋_GB2312" w:eastAsia="仿宋_GB2312" w:cs="仿宋_GB2312"/>
          <w:color w:val="auto"/>
          <w:spacing w:val="-1"/>
          <w:sz w:val="32"/>
          <w:szCs w:val="32"/>
          <w:lang w:eastAsia="zh-CN"/>
        </w:rPr>
        <w:t>吐音两种方法演奏。</w:t>
      </w:r>
      <w:r>
        <w:rPr>
          <w:rFonts w:hint="eastAsia" w:ascii="仿宋_GB2312" w:hAnsi="仿宋_GB2312" w:eastAsia="仿宋_GB2312" w:cs="仿宋_GB2312"/>
          <w:color w:val="auto"/>
          <w:spacing w:val="7"/>
          <w:sz w:val="32"/>
          <w:szCs w:val="32"/>
          <w:lang w:eastAsia="zh-CN"/>
        </w:rPr>
        <w:t>弦乐考生自选3个八度的关系大小调音阶及琶音演奏。打击</w:t>
      </w:r>
      <w:r>
        <w:rPr>
          <w:rFonts w:hint="eastAsia" w:ascii="仿宋_GB2312" w:hAnsi="仿宋_GB2312" w:eastAsia="仿宋_GB2312" w:cs="仿宋_GB2312"/>
          <w:color w:val="auto"/>
          <w:spacing w:val="2"/>
          <w:sz w:val="32"/>
          <w:szCs w:val="32"/>
          <w:lang w:eastAsia="zh-CN"/>
        </w:rPr>
        <w:t>乐考生现场抽取一条节奏进行视奏。考核学生演奏的基本功。</w:t>
      </w:r>
    </w:p>
    <w:p w14:paraId="25C8388F">
      <w:pPr>
        <w:pStyle w:val="2"/>
        <w:spacing w:line="578" w:lineRule="exact"/>
        <w:ind w:right="118" w:firstLine="644" w:firstLineChars="200"/>
        <w:jc w:val="both"/>
        <w:rPr>
          <w:rFonts w:ascii="仿宋_GB2312" w:hAnsi="仿宋_GB2312" w:eastAsia="仿宋_GB2312" w:cs="仿宋_GB2312"/>
          <w:color w:val="auto"/>
          <w:sz w:val="32"/>
          <w:szCs w:val="32"/>
          <w:lang w:eastAsia="zh-CN"/>
        </w:rPr>
      </w:pPr>
      <w:r>
        <w:rPr>
          <w:rFonts w:hint="eastAsia" w:ascii="仿宋_GB2312" w:hAnsi="仿宋_GB2312" w:eastAsia="仿宋_GB2312" w:cs="仿宋_GB2312"/>
          <w:color w:val="auto"/>
          <w:spacing w:val="1"/>
          <w:sz w:val="32"/>
          <w:szCs w:val="32"/>
          <w:lang w:eastAsia="zh-CN"/>
        </w:rPr>
        <w:t>3.素质考试（16分）。考查8小节的模打（唱）节奏、</w:t>
      </w:r>
      <w:r>
        <w:rPr>
          <w:rFonts w:hint="eastAsia" w:ascii="仿宋_GB2312" w:hAnsi="仿宋_GB2312" w:eastAsia="仿宋_GB2312" w:cs="仿宋_GB2312"/>
          <w:color w:val="auto"/>
          <w:spacing w:val="6"/>
          <w:sz w:val="32"/>
          <w:szCs w:val="32"/>
          <w:lang w:eastAsia="zh-CN"/>
        </w:rPr>
        <w:t>五线谱视唱各一条，现场抽取。模打（唱）节奏先聆听钢琴</w:t>
      </w:r>
      <w:r>
        <w:rPr>
          <w:rFonts w:hint="eastAsia" w:ascii="仿宋_GB2312" w:hAnsi="仿宋_GB2312" w:eastAsia="仿宋_GB2312" w:cs="仿宋_GB2312"/>
          <w:color w:val="auto"/>
          <w:spacing w:val="1"/>
          <w:sz w:val="32"/>
          <w:szCs w:val="32"/>
          <w:lang w:eastAsia="zh-CN"/>
        </w:rPr>
        <w:t>弹奏3遍后，考生进行模打（唱）。五线谱视唱时，考生直</w:t>
      </w:r>
      <w:r>
        <w:rPr>
          <w:rFonts w:hint="eastAsia" w:ascii="仿宋_GB2312" w:hAnsi="仿宋_GB2312" w:eastAsia="仿宋_GB2312" w:cs="仿宋_GB2312"/>
          <w:color w:val="auto"/>
          <w:spacing w:val="9"/>
          <w:sz w:val="32"/>
          <w:szCs w:val="32"/>
          <w:lang w:eastAsia="zh-CN"/>
        </w:rPr>
        <w:t>接进行视唱（视唱前，考生可以要求钢琴弹奏标准音小字一</w:t>
      </w:r>
      <w:r>
        <w:rPr>
          <w:rFonts w:hint="eastAsia" w:ascii="仿宋_GB2312" w:hAnsi="仿宋_GB2312" w:eastAsia="仿宋_GB2312" w:cs="仿宋_GB2312"/>
          <w:color w:val="auto"/>
          <w:spacing w:val="3"/>
          <w:sz w:val="32"/>
          <w:szCs w:val="32"/>
          <w:lang w:eastAsia="zh-CN"/>
        </w:rPr>
        <w:t>组a）。考核学生识谱能力、音准和节奏感。</w:t>
      </w:r>
    </w:p>
    <w:p w14:paraId="7BD74339">
      <w:pPr>
        <w:pStyle w:val="2"/>
        <w:spacing w:line="578" w:lineRule="exact"/>
        <w:ind w:firstLine="672" w:firstLineChars="200"/>
        <w:jc w:val="both"/>
        <w:rPr>
          <w:rFonts w:ascii="黑体" w:hAnsi="黑体" w:eastAsia="黑体" w:cs="黑体"/>
          <w:color w:val="auto"/>
          <w:spacing w:val="6"/>
          <w:lang w:eastAsia="zh-CN"/>
        </w:rPr>
      </w:pPr>
      <w:r>
        <w:rPr>
          <w:rFonts w:hint="eastAsia" w:ascii="仿宋_GB2312" w:hAnsi="仿宋_GB2312" w:eastAsia="仿宋_GB2312" w:cs="仿宋_GB2312"/>
          <w:color w:val="auto"/>
          <w:spacing w:val="8"/>
          <w:sz w:val="32"/>
          <w:szCs w:val="32"/>
          <w:lang w:eastAsia="zh-CN"/>
        </w:rPr>
        <w:t>4.面试。侧重考察考生的精神面貌和文明礼仪，面</w:t>
      </w:r>
      <w:r>
        <w:rPr>
          <w:rFonts w:hint="eastAsia" w:ascii="仿宋_GB2312" w:hAnsi="仿宋_GB2312" w:eastAsia="仿宋_GB2312" w:cs="仿宋_GB2312"/>
          <w:color w:val="auto"/>
          <w:spacing w:val="7"/>
          <w:sz w:val="32"/>
          <w:szCs w:val="32"/>
          <w:lang w:eastAsia="zh-CN"/>
        </w:rPr>
        <w:t>试不</w:t>
      </w:r>
      <w:r>
        <w:rPr>
          <w:rFonts w:hint="eastAsia" w:ascii="仿宋_GB2312" w:hAnsi="仿宋_GB2312" w:eastAsia="仿宋_GB2312" w:cs="仿宋_GB2312"/>
          <w:color w:val="auto"/>
          <w:spacing w:val="9"/>
          <w:sz w:val="32"/>
          <w:szCs w:val="32"/>
          <w:lang w:eastAsia="zh-CN"/>
        </w:rPr>
        <w:t>计入总成绩，实行一票否决制，对有染发、纹身等不符合中学生日常行为规范以及不遵守考试纪律等行为的考</w:t>
      </w:r>
      <w:r>
        <w:rPr>
          <w:rFonts w:hint="eastAsia" w:ascii="仿宋_GB2312" w:hAnsi="仿宋_GB2312" w:eastAsia="仿宋_GB2312" w:cs="仿宋_GB2312"/>
          <w:color w:val="auto"/>
          <w:spacing w:val="-3"/>
          <w:sz w:val="32"/>
          <w:szCs w:val="32"/>
          <w:lang w:eastAsia="zh-CN"/>
        </w:rPr>
        <w:t>生一律不予录取。</w:t>
      </w:r>
    </w:p>
    <w:p w14:paraId="40451218">
      <w:pPr>
        <w:spacing w:line="578" w:lineRule="exact"/>
        <w:ind w:firstLine="664" w:firstLineChars="200"/>
        <w:rPr>
          <w:rFonts w:ascii="楷体_GB2312" w:hAnsi="楷体_GB2312" w:eastAsia="楷体_GB2312" w:cs="楷体_GB2312"/>
          <w:color w:val="auto"/>
          <w:spacing w:val="6"/>
          <w:sz w:val="32"/>
          <w:szCs w:val="32"/>
          <w:lang w:eastAsia="zh-CN"/>
        </w:rPr>
      </w:pPr>
      <w:r>
        <w:rPr>
          <w:rFonts w:hint="eastAsia" w:ascii="楷体_GB2312" w:hAnsi="楷体_GB2312" w:eastAsia="楷体_GB2312" w:cs="楷体_GB2312"/>
          <w:color w:val="auto"/>
          <w:spacing w:val="6"/>
          <w:sz w:val="32"/>
          <w:szCs w:val="32"/>
          <w:lang w:eastAsia="zh-CN"/>
        </w:rPr>
        <w:t>（二）考试形式及要求</w:t>
      </w:r>
    </w:p>
    <w:p w14:paraId="20A4B104">
      <w:pPr>
        <w:spacing w:line="578" w:lineRule="exact"/>
        <w:ind w:firstLine="664" w:firstLineChars="200"/>
        <w:rPr>
          <w:rFonts w:ascii="仿宋_GB2312" w:hAnsi="仿宋_GB2312" w:eastAsia="仿宋_GB2312" w:cs="仿宋_GB2312"/>
          <w:color w:val="auto"/>
          <w:spacing w:val="6"/>
          <w:sz w:val="32"/>
          <w:szCs w:val="32"/>
          <w:lang w:eastAsia="zh-CN"/>
        </w:rPr>
      </w:pPr>
      <w:r>
        <w:rPr>
          <w:rFonts w:hint="eastAsia" w:ascii="仿宋_GB2312" w:hAnsi="仿宋_GB2312" w:eastAsia="仿宋_GB2312" w:cs="仿宋_GB2312"/>
          <w:color w:val="auto"/>
          <w:spacing w:val="6"/>
          <w:sz w:val="32"/>
          <w:szCs w:val="32"/>
          <w:lang w:eastAsia="zh-CN"/>
        </w:rPr>
        <w:t>1.考生报道后，需现场进行抽签，按抽签顺序参加考试。</w:t>
      </w:r>
    </w:p>
    <w:p w14:paraId="5FE74D12">
      <w:pPr>
        <w:spacing w:line="578" w:lineRule="exact"/>
        <w:ind w:firstLine="664" w:firstLineChars="200"/>
        <w:rPr>
          <w:rFonts w:ascii="仿宋_GB2312" w:hAnsi="仿宋_GB2312" w:eastAsia="仿宋_GB2312" w:cs="仿宋_GB2312"/>
          <w:color w:val="auto"/>
          <w:spacing w:val="6"/>
          <w:sz w:val="32"/>
          <w:szCs w:val="32"/>
          <w:lang w:eastAsia="zh-CN"/>
        </w:rPr>
      </w:pPr>
      <w:r>
        <w:rPr>
          <w:rFonts w:hint="eastAsia" w:ascii="仿宋_GB2312" w:hAnsi="仿宋_GB2312" w:eastAsia="仿宋_GB2312" w:cs="仿宋_GB2312"/>
          <w:color w:val="auto"/>
          <w:spacing w:val="6"/>
          <w:sz w:val="32"/>
          <w:szCs w:val="32"/>
          <w:lang w:eastAsia="zh-CN"/>
        </w:rPr>
        <w:t>2.考生专业技能考试结束后，现场抽取素质考试试题。</w:t>
      </w:r>
    </w:p>
    <w:p w14:paraId="46056291">
      <w:pPr>
        <w:spacing w:line="578" w:lineRule="exact"/>
        <w:ind w:firstLine="664" w:firstLineChars="200"/>
        <w:rPr>
          <w:rFonts w:ascii="仿宋_GB2312" w:hAnsi="仿宋_GB2312" w:eastAsia="仿宋_GB2312" w:cs="仿宋_GB2312"/>
          <w:color w:val="auto"/>
          <w:spacing w:val="6"/>
          <w:sz w:val="32"/>
          <w:szCs w:val="32"/>
          <w:lang w:eastAsia="zh-CN"/>
        </w:rPr>
      </w:pPr>
      <w:r>
        <w:rPr>
          <w:rFonts w:hint="eastAsia" w:ascii="仿宋_GB2312" w:hAnsi="仿宋_GB2312" w:eastAsia="仿宋_GB2312" w:cs="仿宋_GB2312"/>
          <w:color w:val="auto"/>
          <w:spacing w:val="6"/>
          <w:sz w:val="32"/>
          <w:szCs w:val="32"/>
          <w:lang w:eastAsia="zh-CN"/>
        </w:rPr>
        <w:t>3.考生乐器自备。</w:t>
      </w:r>
    </w:p>
    <w:p w14:paraId="7DF5508B">
      <w:pPr>
        <w:spacing w:line="578" w:lineRule="exact"/>
        <w:ind w:firstLine="664" w:firstLineChars="200"/>
        <w:rPr>
          <w:rFonts w:ascii="仿宋_GB2312" w:hAnsi="仿宋_GB2312" w:eastAsia="仿宋_GB2312" w:cs="仿宋_GB2312"/>
          <w:color w:val="auto"/>
          <w:spacing w:val="6"/>
          <w:sz w:val="32"/>
          <w:szCs w:val="32"/>
          <w:lang w:eastAsia="zh-CN"/>
        </w:rPr>
      </w:pPr>
      <w:r>
        <w:rPr>
          <w:rFonts w:hint="eastAsia" w:ascii="仿宋_GB2312" w:hAnsi="仿宋_GB2312" w:eastAsia="仿宋_GB2312" w:cs="仿宋_GB2312"/>
          <w:color w:val="auto"/>
          <w:spacing w:val="6"/>
          <w:sz w:val="32"/>
          <w:szCs w:val="32"/>
          <w:lang w:eastAsia="zh-CN"/>
        </w:rPr>
        <w:t>4.考生考试不准带乐谱，不准带伴奏。</w:t>
      </w:r>
    </w:p>
    <w:p w14:paraId="0F618EB2">
      <w:pPr>
        <w:spacing w:line="578" w:lineRule="exact"/>
        <w:ind w:firstLine="664" w:firstLineChars="200"/>
        <w:rPr>
          <w:rFonts w:ascii="黑体" w:hAnsi="黑体" w:eastAsia="黑体" w:cs="黑体"/>
          <w:color w:val="auto"/>
          <w:spacing w:val="6"/>
          <w:sz w:val="32"/>
          <w:szCs w:val="32"/>
          <w:lang w:eastAsia="zh-CN"/>
        </w:rPr>
      </w:pPr>
      <w:r>
        <w:rPr>
          <w:rFonts w:hint="eastAsia" w:ascii="仿宋_GB2312" w:hAnsi="仿宋_GB2312" w:eastAsia="仿宋_GB2312" w:cs="仿宋_GB2312"/>
          <w:color w:val="auto"/>
          <w:spacing w:val="6"/>
          <w:sz w:val="32"/>
          <w:szCs w:val="32"/>
          <w:lang w:eastAsia="zh-CN"/>
        </w:rPr>
        <w:t>5.考生不化浓妆，穿着得体。</w:t>
      </w:r>
    </w:p>
    <w:p w14:paraId="3B4B2E32">
      <w:pPr>
        <w:spacing w:line="578" w:lineRule="exact"/>
        <w:ind w:firstLine="656" w:firstLineChars="200"/>
        <w:rPr>
          <w:rFonts w:ascii="黑体" w:hAnsi="黑体" w:eastAsia="黑体" w:cs="黑体"/>
          <w:color w:val="auto"/>
          <w:spacing w:val="4"/>
          <w:sz w:val="32"/>
          <w:szCs w:val="32"/>
        </w:rPr>
      </w:pPr>
      <w:r>
        <w:rPr>
          <w:rFonts w:hint="eastAsia" w:ascii="黑体" w:hAnsi="黑体" w:eastAsia="黑体" w:cs="黑体"/>
          <w:color w:val="auto"/>
          <w:spacing w:val="4"/>
          <w:sz w:val="32"/>
          <w:szCs w:val="32"/>
        </w:rPr>
        <w:t>二、考试评分标准</w:t>
      </w:r>
    </w:p>
    <w:p w14:paraId="47E887AF">
      <w:pPr>
        <w:spacing w:line="121" w:lineRule="auto"/>
        <w:rPr>
          <w:color w:val="auto"/>
          <w:sz w:val="2"/>
        </w:rPr>
      </w:pPr>
    </w:p>
    <w:tbl>
      <w:tblPr>
        <w:tblStyle w:val="12"/>
        <w:tblW w:w="89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04"/>
        <w:gridCol w:w="1278"/>
        <w:gridCol w:w="4059"/>
        <w:gridCol w:w="1845"/>
        <w:gridCol w:w="531"/>
        <w:gridCol w:w="9"/>
      </w:tblGrid>
      <w:tr w14:paraId="1A3514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9" w:type="dxa"/>
          <w:trHeight w:val="669" w:hRule="atLeast"/>
        </w:trPr>
        <w:tc>
          <w:tcPr>
            <w:tcW w:w="2482" w:type="dxa"/>
            <w:gridSpan w:val="2"/>
          </w:tcPr>
          <w:p w14:paraId="2A45EF90">
            <w:pPr>
              <w:spacing w:before="243" w:line="221" w:lineRule="auto"/>
              <w:ind w:left="735"/>
              <w:jc w:val="both"/>
              <w:rPr>
                <w:rFonts w:ascii="黑体" w:hAnsi="黑体" w:eastAsia="黑体" w:cs="黑体"/>
                <w:color w:val="auto"/>
                <w:sz w:val="28"/>
                <w:szCs w:val="28"/>
              </w:rPr>
            </w:pPr>
            <w:r>
              <w:rPr>
                <w:rFonts w:ascii="黑体" w:hAnsi="黑体" w:eastAsia="黑体" w:cs="黑体"/>
                <w:color w:val="auto"/>
                <w:spacing w:val="-2"/>
                <w:sz w:val="28"/>
                <w:szCs w:val="28"/>
              </w:rPr>
              <w:t>考试内容</w:t>
            </w:r>
          </w:p>
        </w:tc>
        <w:tc>
          <w:tcPr>
            <w:tcW w:w="4059" w:type="dxa"/>
          </w:tcPr>
          <w:p w14:paraId="74BF3529">
            <w:pPr>
              <w:spacing w:before="243" w:line="223" w:lineRule="auto"/>
              <w:ind w:left="1390"/>
              <w:jc w:val="both"/>
              <w:rPr>
                <w:rFonts w:ascii="黑体" w:hAnsi="黑体" w:eastAsia="黑体" w:cs="黑体"/>
                <w:color w:val="auto"/>
                <w:sz w:val="28"/>
                <w:szCs w:val="28"/>
              </w:rPr>
            </w:pPr>
            <w:r>
              <w:rPr>
                <w:rFonts w:ascii="黑体" w:hAnsi="黑体" w:eastAsia="黑体" w:cs="黑体"/>
                <w:color w:val="auto"/>
                <w:spacing w:val="-2"/>
                <w:sz w:val="28"/>
                <w:szCs w:val="28"/>
              </w:rPr>
              <w:t>考核标准</w:t>
            </w:r>
          </w:p>
        </w:tc>
        <w:tc>
          <w:tcPr>
            <w:tcW w:w="1845" w:type="dxa"/>
          </w:tcPr>
          <w:p w14:paraId="71C6E42B">
            <w:pPr>
              <w:spacing w:before="243" w:line="222" w:lineRule="auto"/>
              <w:ind w:left="308" w:firstLine="274" w:firstLineChars="100"/>
              <w:jc w:val="both"/>
              <w:rPr>
                <w:rFonts w:ascii="黑体" w:hAnsi="黑体" w:eastAsia="黑体" w:cs="黑体"/>
                <w:color w:val="auto"/>
                <w:sz w:val="28"/>
                <w:szCs w:val="28"/>
              </w:rPr>
            </w:pPr>
            <w:r>
              <w:rPr>
                <w:rFonts w:ascii="黑体" w:hAnsi="黑体" w:eastAsia="黑体" w:cs="黑体"/>
                <w:color w:val="auto"/>
                <w:spacing w:val="-3"/>
                <w:sz w:val="28"/>
                <w:szCs w:val="28"/>
              </w:rPr>
              <w:t>评分</w:t>
            </w:r>
          </w:p>
        </w:tc>
        <w:tc>
          <w:tcPr>
            <w:tcW w:w="531" w:type="dxa"/>
          </w:tcPr>
          <w:p w14:paraId="0106096E">
            <w:pPr>
              <w:spacing w:before="243" w:line="222" w:lineRule="auto"/>
              <w:rPr>
                <w:rFonts w:ascii="黑体" w:hAnsi="黑体" w:eastAsia="黑体" w:cs="黑体"/>
                <w:color w:val="auto"/>
                <w:sz w:val="28"/>
                <w:szCs w:val="28"/>
              </w:rPr>
            </w:pPr>
            <w:r>
              <w:rPr>
                <w:rFonts w:ascii="黑体" w:hAnsi="黑体" w:eastAsia="黑体" w:cs="黑体"/>
                <w:color w:val="auto"/>
                <w:spacing w:val="-3"/>
                <w:sz w:val="24"/>
                <w:szCs w:val="24"/>
              </w:rPr>
              <w:t>备注</w:t>
            </w:r>
          </w:p>
        </w:tc>
      </w:tr>
      <w:tr w14:paraId="742921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9" w:type="dxa"/>
          <w:trHeight w:val="348" w:hRule="atLeast"/>
        </w:trPr>
        <w:tc>
          <w:tcPr>
            <w:tcW w:w="1204" w:type="dxa"/>
            <w:vMerge w:val="restart"/>
            <w:tcBorders>
              <w:bottom w:val="nil"/>
            </w:tcBorders>
          </w:tcPr>
          <w:p w14:paraId="7B40A6FA">
            <w:pPr>
              <w:spacing w:before="153" w:line="624" w:lineRule="exact"/>
              <w:ind w:left="143"/>
              <w:jc w:val="center"/>
              <w:rPr>
                <w:rFonts w:ascii="仿宋" w:hAnsi="仿宋" w:eastAsia="仿宋" w:cs="仿宋"/>
                <w:color w:val="auto"/>
                <w:spacing w:val="2"/>
                <w:position w:val="23"/>
                <w:sz w:val="31"/>
                <w:szCs w:val="31"/>
                <w:lang w:eastAsia="zh-CN"/>
                <w14:textOutline w14:w="5791" w14:cap="flat" w14:cmpd="sng" w14:algn="ctr">
                  <w14:solidFill>
                    <w14:srgbClr w14:val="000000"/>
                  </w14:solidFill>
                  <w14:prstDash w14:val="solid"/>
                  <w14:miter w14:val="0"/>
                </w14:textOutline>
              </w:rPr>
            </w:pPr>
          </w:p>
          <w:p w14:paraId="6FE33C04">
            <w:pPr>
              <w:spacing w:before="91" w:line="624" w:lineRule="exact"/>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pPr>
            <w:r>
              <w:rPr>
                <w:rFonts w:hint="eastAsia"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高水平</w:t>
            </w:r>
            <w:r>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管</w:t>
            </w:r>
            <w:r>
              <w:rPr>
                <w:rFonts w:hint="eastAsia"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弦</w:t>
            </w:r>
            <w:r>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乐团专业技能</w:t>
            </w:r>
          </w:p>
          <w:p w14:paraId="00FDC51D">
            <w:pPr>
              <w:spacing w:before="91" w:line="624" w:lineRule="exact"/>
              <w:rPr>
                <w:rFonts w:ascii="仿宋" w:hAnsi="仿宋" w:eastAsia="仿宋" w:cs="仿宋"/>
                <w:color w:val="auto"/>
                <w:sz w:val="31"/>
                <w:szCs w:val="31"/>
              </w:rPr>
            </w:pPr>
            <w:r>
              <w:rPr>
                <w:rFonts w:ascii="仿宋" w:hAnsi="仿宋" w:eastAsia="仿宋" w:cs="仿宋"/>
                <w:color w:val="auto"/>
                <w:spacing w:val="-3"/>
                <w:position w:val="26"/>
                <w:sz w:val="28"/>
                <w:szCs w:val="28"/>
                <w14:textOutline w14:w="5092" w14:cap="flat" w14:cmpd="sng" w14:algn="ctr">
                  <w14:solidFill>
                    <w14:srgbClr w14:val="000000"/>
                  </w14:solidFill>
                  <w14:prstDash w14:val="solid"/>
                  <w14:miter w14:val="0"/>
                </w14:textOutline>
              </w:rPr>
              <w:t>（60分）</w:t>
            </w:r>
          </w:p>
        </w:tc>
        <w:tc>
          <w:tcPr>
            <w:tcW w:w="1278" w:type="dxa"/>
            <w:vMerge w:val="restart"/>
            <w:tcBorders>
              <w:bottom w:val="nil"/>
            </w:tcBorders>
          </w:tcPr>
          <w:p w14:paraId="3F40320B">
            <w:pPr>
              <w:spacing w:before="171" w:line="626" w:lineRule="exact"/>
              <w:ind w:left="136"/>
              <w:jc w:val="center"/>
              <w:rPr>
                <w:rFonts w:ascii="仿宋" w:hAnsi="仿宋" w:eastAsia="仿宋" w:cs="仿宋"/>
                <w:color w:val="auto"/>
                <w:sz w:val="28"/>
                <w:szCs w:val="28"/>
              </w:rPr>
            </w:pPr>
            <w:r>
              <w:rPr>
                <w:rFonts w:ascii="仿宋" w:hAnsi="仿宋" w:eastAsia="仿宋" w:cs="仿宋"/>
                <w:color w:val="auto"/>
                <w:spacing w:val="-4"/>
                <w:position w:val="26"/>
                <w:sz w:val="28"/>
                <w:szCs w:val="28"/>
                <w14:textOutline w14:w="5092" w14:cap="flat" w14:cmpd="sng" w14:algn="ctr">
                  <w14:solidFill>
                    <w14:srgbClr w14:val="000000"/>
                  </w14:solidFill>
                  <w14:prstDash w14:val="solid"/>
                  <w14:miter w14:val="0"/>
                </w14:textOutline>
              </w:rPr>
              <w:t>演奏效果</w:t>
            </w:r>
          </w:p>
          <w:p w14:paraId="008DA0F0">
            <w:pPr>
              <w:spacing w:line="219" w:lineRule="auto"/>
              <w:ind w:left="104"/>
              <w:jc w:val="center"/>
              <w:rPr>
                <w:rFonts w:ascii="仿宋" w:hAnsi="仿宋" w:eastAsia="仿宋" w:cs="仿宋"/>
                <w:color w:val="auto"/>
                <w:sz w:val="28"/>
                <w:szCs w:val="28"/>
              </w:rPr>
            </w:pPr>
            <w:r>
              <w:rPr>
                <w:rFonts w:ascii="仿宋" w:hAnsi="仿宋" w:eastAsia="仿宋" w:cs="仿宋"/>
                <w:color w:val="auto"/>
                <w:spacing w:val="-1"/>
                <w:sz w:val="28"/>
                <w:szCs w:val="28"/>
                <w14:textOutline w14:w="5092" w14:cap="flat" w14:cmpd="sng" w14:algn="ctr">
                  <w14:solidFill>
                    <w14:srgbClr w14:val="000000"/>
                  </w14:solidFill>
                  <w14:prstDash w14:val="solid"/>
                  <w14:miter w14:val="0"/>
                </w14:textOutline>
              </w:rPr>
              <w:t>（</w:t>
            </w:r>
            <w:r>
              <w:rPr>
                <w:rFonts w:ascii="Times New Roman" w:hAnsi="Times New Roman" w:eastAsia="Times New Roman" w:cs="Times New Roman"/>
                <w:b/>
                <w:bCs/>
                <w:color w:val="auto"/>
                <w:spacing w:val="-1"/>
                <w:sz w:val="28"/>
                <w:szCs w:val="28"/>
              </w:rPr>
              <w:t>22</w:t>
            </w:r>
            <w:r>
              <w:rPr>
                <w:rFonts w:ascii="仿宋" w:hAnsi="仿宋" w:eastAsia="仿宋" w:cs="仿宋"/>
                <w:color w:val="auto"/>
                <w:spacing w:val="-1"/>
                <w:sz w:val="28"/>
                <w:szCs w:val="28"/>
                <w14:textOutline w14:w="5092" w14:cap="flat" w14:cmpd="sng" w14:algn="ctr">
                  <w14:solidFill>
                    <w14:srgbClr w14:val="000000"/>
                  </w14:solidFill>
                  <w14:prstDash w14:val="solid"/>
                  <w14:miter w14:val="0"/>
                </w14:textOutline>
              </w:rPr>
              <w:t>分）</w:t>
            </w:r>
          </w:p>
        </w:tc>
        <w:tc>
          <w:tcPr>
            <w:tcW w:w="4059" w:type="dxa"/>
          </w:tcPr>
          <w:p w14:paraId="675461A7">
            <w:pPr>
              <w:spacing w:before="56" w:line="228" w:lineRule="auto"/>
              <w:ind w:left="106"/>
              <w:rPr>
                <w:rFonts w:ascii="宋体" w:hAnsi="宋体" w:eastAsia="宋体" w:cs="宋体"/>
                <w:color w:val="auto"/>
                <w:sz w:val="22"/>
                <w:szCs w:val="22"/>
                <w:lang w:eastAsia="zh-CN"/>
              </w:rPr>
            </w:pPr>
            <w:r>
              <w:rPr>
                <w:rFonts w:ascii="Times New Roman" w:hAnsi="Times New Roman" w:eastAsia="Times New Roman" w:cs="Times New Roman"/>
                <w:color w:val="auto"/>
                <w:spacing w:val="-5"/>
                <w:sz w:val="22"/>
                <w:szCs w:val="22"/>
                <w:lang w:eastAsia="zh-CN"/>
              </w:rPr>
              <w:t>A</w:t>
            </w:r>
            <w:r>
              <w:rPr>
                <w:rFonts w:ascii="宋体" w:hAnsi="宋体" w:eastAsia="宋体" w:cs="宋体"/>
                <w:color w:val="auto"/>
                <w:spacing w:val="-5"/>
                <w:sz w:val="22"/>
                <w:szCs w:val="22"/>
                <w:lang w:eastAsia="zh-CN"/>
              </w:rPr>
              <w:t>、演奏完整、熟练准确，音准、节奏均好</w:t>
            </w:r>
          </w:p>
        </w:tc>
        <w:tc>
          <w:tcPr>
            <w:tcW w:w="1845" w:type="dxa"/>
          </w:tcPr>
          <w:p w14:paraId="427E7582">
            <w:pPr>
              <w:spacing w:before="56" w:line="228" w:lineRule="auto"/>
              <w:ind w:left="106"/>
              <w:rPr>
                <w:rFonts w:ascii="宋体" w:hAnsi="宋体" w:eastAsia="宋体" w:cs="宋体"/>
                <w:color w:val="auto"/>
                <w:spacing w:val="-5"/>
                <w:sz w:val="22"/>
                <w:szCs w:val="22"/>
              </w:rPr>
            </w:pPr>
            <w:r>
              <w:rPr>
                <w:rFonts w:ascii="宋体" w:hAnsi="宋体" w:eastAsia="宋体" w:cs="宋体"/>
                <w:color w:val="auto"/>
                <w:spacing w:val="-5"/>
                <w:sz w:val="22"/>
                <w:szCs w:val="22"/>
              </w:rPr>
              <w:t>17—22分</w:t>
            </w:r>
          </w:p>
        </w:tc>
        <w:tc>
          <w:tcPr>
            <w:tcW w:w="531" w:type="dxa"/>
            <w:vMerge w:val="restart"/>
            <w:tcBorders>
              <w:bottom w:val="nil"/>
            </w:tcBorders>
          </w:tcPr>
          <w:p w14:paraId="7334F296">
            <w:pPr>
              <w:rPr>
                <w:color w:val="auto"/>
              </w:rPr>
            </w:pPr>
          </w:p>
        </w:tc>
      </w:tr>
      <w:tr w14:paraId="369B16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9" w:type="dxa"/>
          <w:trHeight w:val="321" w:hRule="atLeast"/>
        </w:trPr>
        <w:tc>
          <w:tcPr>
            <w:tcW w:w="1204" w:type="dxa"/>
            <w:vMerge w:val="continue"/>
            <w:tcBorders>
              <w:top w:val="nil"/>
              <w:bottom w:val="nil"/>
            </w:tcBorders>
          </w:tcPr>
          <w:p w14:paraId="2F6EC4E4">
            <w:pPr>
              <w:jc w:val="center"/>
              <w:rPr>
                <w:color w:val="auto"/>
              </w:rPr>
            </w:pPr>
          </w:p>
        </w:tc>
        <w:tc>
          <w:tcPr>
            <w:tcW w:w="1278" w:type="dxa"/>
            <w:vMerge w:val="continue"/>
            <w:tcBorders>
              <w:top w:val="nil"/>
              <w:bottom w:val="nil"/>
            </w:tcBorders>
          </w:tcPr>
          <w:p w14:paraId="18AB2F73">
            <w:pPr>
              <w:jc w:val="center"/>
              <w:rPr>
                <w:color w:val="auto"/>
              </w:rPr>
            </w:pPr>
          </w:p>
        </w:tc>
        <w:tc>
          <w:tcPr>
            <w:tcW w:w="4059" w:type="dxa"/>
          </w:tcPr>
          <w:p w14:paraId="5031EB3A">
            <w:pPr>
              <w:spacing w:before="55" w:line="228" w:lineRule="auto"/>
              <w:ind w:left="108"/>
              <w:rPr>
                <w:rFonts w:ascii="宋体" w:hAnsi="宋体" w:eastAsia="宋体" w:cs="宋体"/>
                <w:color w:val="auto"/>
                <w:sz w:val="22"/>
                <w:szCs w:val="22"/>
                <w:lang w:eastAsia="zh-CN"/>
              </w:rPr>
            </w:pPr>
            <w:r>
              <w:rPr>
                <w:rFonts w:ascii="Times New Roman" w:hAnsi="Times New Roman" w:eastAsia="Times New Roman" w:cs="Times New Roman"/>
                <w:color w:val="auto"/>
                <w:spacing w:val="9"/>
                <w:sz w:val="22"/>
                <w:szCs w:val="22"/>
                <w:lang w:eastAsia="zh-CN"/>
              </w:rPr>
              <w:t>B</w:t>
            </w:r>
            <w:r>
              <w:rPr>
                <w:rFonts w:ascii="宋体" w:hAnsi="宋体" w:eastAsia="宋体" w:cs="宋体"/>
                <w:color w:val="auto"/>
                <w:spacing w:val="9"/>
                <w:sz w:val="22"/>
                <w:szCs w:val="22"/>
                <w:lang w:eastAsia="zh-CN"/>
              </w:rPr>
              <w:t>、演奏完整、熟练，音准、节奏稍差</w:t>
            </w:r>
          </w:p>
        </w:tc>
        <w:tc>
          <w:tcPr>
            <w:tcW w:w="1845" w:type="dxa"/>
          </w:tcPr>
          <w:p w14:paraId="0952532A">
            <w:pPr>
              <w:spacing w:before="56" w:line="228" w:lineRule="auto"/>
              <w:ind w:left="106"/>
              <w:rPr>
                <w:rFonts w:ascii="宋体" w:hAnsi="宋体" w:eastAsia="宋体" w:cs="宋体"/>
                <w:color w:val="auto"/>
                <w:spacing w:val="-5"/>
                <w:sz w:val="22"/>
                <w:szCs w:val="22"/>
              </w:rPr>
            </w:pPr>
            <w:r>
              <w:rPr>
                <w:rFonts w:ascii="宋体" w:hAnsi="宋体" w:eastAsia="宋体" w:cs="宋体"/>
                <w:color w:val="auto"/>
                <w:spacing w:val="-5"/>
                <w:sz w:val="22"/>
                <w:szCs w:val="22"/>
              </w:rPr>
              <w:t>11—16分</w:t>
            </w:r>
          </w:p>
        </w:tc>
        <w:tc>
          <w:tcPr>
            <w:tcW w:w="531" w:type="dxa"/>
            <w:vMerge w:val="continue"/>
            <w:tcBorders>
              <w:top w:val="nil"/>
              <w:bottom w:val="nil"/>
            </w:tcBorders>
          </w:tcPr>
          <w:p w14:paraId="26C2DCED">
            <w:pPr>
              <w:rPr>
                <w:color w:val="auto"/>
              </w:rPr>
            </w:pPr>
          </w:p>
        </w:tc>
      </w:tr>
      <w:tr w14:paraId="3F0E3B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9" w:type="dxa"/>
          <w:trHeight w:val="371" w:hRule="atLeast"/>
        </w:trPr>
        <w:tc>
          <w:tcPr>
            <w:tcW w:w="1204" w:type="dxa"/>
            <w:vMerge w:val="continue"/>
            <w:tcBorders>
              <w:top w:val="nil"/>
              <w:bottom w:val="nil"/>
            </w:tcBorders>
          </w:tcPr>
          <w:p w14:paraId="4789B648">
            <w:pPr>
              <w:jc w:val="center"/>
              <w:rPr>
                <w:color w:val="auto"/>
              </w:rPr>
            </w:pPr>
          </w:p>
        </w:tc>
        <w:tc>
          <w:tcPr>
            <w:tcW w:w="1278" w:type="dxa"/>
            <w:vMerge w:val="continue"/>
            <w:tcBorders>
              <w:top w:val="nil"/>
              <w:bottom w:val="nil"/>
            </w:tcBorders>
          </w:tcPr>
          <w:p w14:paraId="69A63FC8">
            <w:pPr>
              <w:jc w:val="center"/>
              <w:rPr>
                <w:color w:val="auto"/>
              </w:rPr>
            </w:pPr>
          </w:p>
        </w:tc>
        <w:tc>
          <w:tcPr>
            <w:tcW w:w="4059" w:type="dxa"/>
          </w:tcPr>
          <w:p w14:paraId="002F055D">
            <w:pPr>
              <w:spacing w:before="56" w:line="228" w:lineRule="auto"/>
              <w:ind w:left="112"/>
              <w:rPr>
                <w:rFonts w:ascii="宋体" w:hAnsi="宋体" w:eastAsia="宋体" w:cs="宋体"/>
                <w:color w:val="auto"/>
                <w:sz w:val="22"/>
                <w:szCs w:val="22"/>
                <w:lang w:eastAsia="zh-CN"/>
              </w:rPr>
            </w:pPr>
            <w:r>
              <w:rPr>
                <w:rFonts w:ascii="Times New Roman" w:hAnsi="Times New Roman" w:eastAsia="Times New Roman" w:cs="Times New Roman"/>
                <w:color w:val="auto"/>
                <w:spacing w:val="8"/>
                <w:sz w:val="22"/>
                <w:szCs w:val="22"/>
                <w:lang w:eastAsia="zh-CN"/>
              </w:rPr>
              <w:t>C</w:t>
            </w:r>
            <w:r>
              <w:rPr>
                <w:rFonts w:ascii="宋体" w:hAnsi="宋体" w:eastAsia="宋体" w:cs="宋体"/>
                <w:color w:val="auto"/>
                <w:spacing w:val="8"/>
                <w:sz w:val="22"/>
                <w:szCs w:val="22"/>
                <w:lang w:eastAsia="zh-CN"/>
              </w:rPr>
              <w:t>、演奏较完整，音准、节奏稍差</w:t>
            </w:r>
          </w:p>
        </w:tc>
        <w:tc>
          <w:tcPr>
            <w:tcW w:w="1845" w:type="dxa"/>
          </w:tcPr>
          <w:p w14:paraId="0D71F80F">
            <w:pPr>
              <w:spacing w:before="56" w:line="228" w:lineRule="auto"/>
              <w:ind w:left="106"/>
              <w:rPr>
                <w:rFonts w:ascii="宋体" w:hAnsi="宋体" w:eastAsia="宋体" w:cs="宋体"/>
                <w:color w:val="auto"/>
                <w:spacing w:val="-5"/>
                <w:sz w:val="22"/>
                <w:szCs w:val="22"/>
              </w:rPr>
            </w:pPr>
            <w:r>
              <w:rPr>
                <w:rFonts w:ascii="宋体" w:hAnsi="宋体" w:eastAsia="宋体" w:cs="宋体"/>
                <w:color w:val="auto"/>
                <w:spacing w:val="-5"/>
                <w:sz w:val="22"/>
                <w:szCs w:val="22"/>
              </w:rPr>
              <w:t>6—10分</w:t>
            </w:r>
          </w:p>
        </w:tc>
        <w:tc>
          <w:tcPr>
            <w:tcW w:w="531" w:type="dxa"/>
            <w:vMerge w:val="continue"/>
            <w:tcBorders>
              <w:top w:val="nil"/>
              <w:bottom w:val="nil"/>
            </w:tcBorders>
          </w:tcPr>
          <w:p w14:paraId="7807BA8A">
            <w:pPr>
              <w:rPr>
                <w:color w:val="auto"/>
              </w:rPr>
            </w:pPr>
          </w:p>
        </w:tc>
      </w:tr>
      <w:tr w14:paraId="2BBAD3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9" w:type="dxa"/>
          <w:trHeight w:val="324" w:hRule="atLeast"/>
        </w:trPr>
        <w:tc>
          <w:tcPr>
            <w:tcW w:w="1204" w:type="dxa"/>
            <w:vMerge w:val="continue"/>
            <w:tcBorders>
              <w:top w:val="nil"/>
              <w:bottom w:val="nil"/>
            </w:tcBorders>
          </w:tcPr>
          <w:p w14:paraId="42B364FE">
            <w:pPr>
              <w:jc w:val="center"/>
              <w:rPr>
                <w:color w:val="auto"/>
              </w:rPr>
            </w:pPr>
          </w:p>
        </w:tc>
        <w:tc>
          <w:tcPr>
            <w:tcW w:w="1278" w:type="dxa"/>
            <w:vMerge w:val="continue"/>
            <w:tcBorders>
              <w:top w:val="nil"/>
            </w:tcBorders>
          </w:tcPr>
          <w:p w14:paraId="7BEEFA50">
            <w:pPr>
              <w:jc w:val="center"/>
              <w:rPr>
                <w:color w:val="auto"/>
              </w:rPr>
            </w:pPr>
          </w:p>
        </w:tc>
        <w:tc>
          <w:tcPr>
            <w:tcW w:w="4059" w:type="dxa"/>
          </w:tcPr>
          <w:p w14:paraId="420A77F5">
            <w:pPr>
              <w:spacing w:before="59" w:line="228" w:lineRule="auto"/>
              <w:ind w:left="108"/>
              <w:rPr>
                <w:rFonts w:ascii="宋体" w:hAnsi="宋体" w:eastAsia="宋体" w:cs="宋体"/>
                <w:color w:val="auto"/>
                <w:sz w:val="22"/>
                <w:szCs w:val="22"/>
                <w:lang w:eastAsia="zh-CN"/>
              </w:rPr>
            </w:pPr>
            <w:r>
              <w:rPr>
                <w:rFonts w:ascii="Times New Roman" w:hAnsi="Times New Roman" w:eastAsia="Times New Roman" w:cs="Times New Roman"/>
                <w:color w:val="auto"/>
                <w:spacing w:val="8"/>
                <w:sz w:val="22"/>
                <w:szCs w:val="22"/>
                <w:lang w:eastAsia="zh-CN"/>
              </w:rPr>
              <w:t>D</w:t>
            </w:r>
            <w:r>
              <w:rPr>
                <w:rFonts w:ascii="宋体" w:hAnsi="宋体" w:eastAsia="宋体" w:cs="宋体"/>
                <w:color w:val="auto"/>
                <w:spacing w:val="8"/>
                <w:sz w:val="22"/>
                <w:szCs w:val="22"/>
                <w:lang w:eastAsia="zh-CN"/>
              </w:rPr>
              <w:t>、演奏不完整，音准、节奏问题较多</w:t>
            </w:r>
          </w:p>
        </w:tc>
        <w:tc>
          <w:tcPr>
            <w:tcW w:w="1845" w:type="dxa"/>
          </w:tcPr>
          <w:p w14:paraId="3F9FE0B0">
            <w:pPr>
              <w:spacing w:before="56" w:line="228" w:lineRule="auto"/>
              <w:ind w:left="106"/>
              <w:rPr>
                <w:rFonts w:ascii="宋体" w:hAnsi="宋体" w:eastAsia="宋体" w:cs="宋体"/>
                <w:color w:val="auto"/>
                <w:spacing w:val="-5"/>
                <w:sz w:val="22"/>
                <w:szCs w:val="22"/>
              </w:rPr>
            </w:pPr>
            <w:r>
              <w:rPr>
                <w:rFonts w:ascii="宋体" w:hAnsi="宋体" w:eastAsia="宋体" w:cs="宋体"/>
                <w:color w:val="auto"/>
                <w:spacing w:val="-5"/>
                <w:sz w:val="22"/>
                <w:szCs w:val="22"/>
              </w:rPr>
              <w:t>0—5分</w:t>
            </w:r>
          </w:p>
        </w:tc>
        <w:tc>
          <w:tcPr>
            <w:tcW w:w="531" w:type="dxa"/>
            <w:vMerge w:val="continue"/>
            <w:tcBorders>
              <w:top w:val="nil"/>
            </w:tcBorders>
          </w:tcPr>
          <w:p w14:paraId="2B9AEC45">
            <w:pPr>
              <w:rPr>
                <w:color w:val="auto"/>
              </w:rPr>
            </w:pPr>
          </w:p>
        </w:tc>
      </w:tr>
      <w:tr w14:paraId="47485D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9" w:type="dxa"/>
          <w:trHeight w:val="321" w:hRule="atLeast"/>
        </w:trPr>
        <w:tc>
          <w:tcPr>
            <w:tcW w:w="1204" w:type="dxa"/>
            <w:vMerge w:val="continue"/>
            <w:tcBorders>
              <w:top w:val="nil"/>
              <w:bottom w:val="nil"/>
            </w:tcBorders>
          </w:tcPr>
          <w:p w14:paraId="44C9F5C6">
            <w:pPr>
              <w:jc w:val="center"/>
              <w:rPr>
                <w:color w:val="auto"/>
              </w:rPr>
            </w:pPr>
          </w:p>
        </w:tc>
        <w:tc>
          <w:tcPr>
            <w:tcW w:w="1278" w:type="dxa"/>
            <w:vMerge w:val="restart"/>
            <w:tcBorders>
              <w:bottom w:val="nil"/>
            </w:tcBorders>
          </w:tcPr>
          <w:p w14:paraId="4C71AC44">
            <w:pPr>
              <w:spacing w:before="171" w:line="627" w:lineRule="exact"/>
              <w:ind w:left="136"/>
              <w:jc w:val="center"/>
              <w:rPr>
                <w:rFonts w:ascii="仿宋" w:hAnsi="仿宋" w:eastAsia="仿宋" w:cs="仿宋"/>
                <w:color w:val="auto"/>
                <w:sz w:val="28"/>
                <w:szCs w:val="28"/>
              </w:rPr>
            </w:pPr>
            <w:r>
              <w:rPr>
                <w:rFonts w:ascii="仿宋" w:hAnsi="仿宋" w:eastAsia="仿宋" w:cs="仿宋"/>
                <w:color w:val="auto"/>
                <w:spacing w:val="-4"/>
                <w:position w:val="26"/>
                <w:sz w:val="28"/>
                <w:szCs w:val="28"/>
                <w14:textOutline w14:w="5092" w14:cap="flat" w14:cmpd="sng" w14:algn="ctr">
                  <w14:solidFill>
                    <w14:srgbClr w14:val="000000"/>
                  </w14:solidFill>
                  <w14:prstDash w14:val="solid"/>
                  <w14:miter w14:val="0"/>
                </w14:textOutline>
              </w:rPr>
              <w:t>演奏技巧</w:t>
            </w:r>
          </w:p>
          <w:p w14:paraId="7009158E">
            <w:pPr>
              <w:spacing w:line="219" w:lineRule="auto"/>
              <w:ind w:left="104"/>
              <w:jc w:val="center"/>
              <w:rPr>
                <w:rFonts w:ascii="仿宋" w:hAnsi="仿宋" w:eastAsia="仿宋" w:cs="仿宋"/>
                <w:color w:val="auto"/>
                <w:sz w:val="28"/>
                <w:szCs w:val="28"/>
              </w:rPr>
            </w:pPr>
            <w:r>
              <w:rPr>
                <w:rFonts w:ascii="仿宋" w:hAnsi="仿宋" w:eastAsia="仿宋" w:cs="仿宋"/>
                <w:color w:val="auto"/>
                <w:spacing w:val="-1"/>
                <w:sz w:val="28"/>
                <w:szCs w:val="28"/>
                <w14:textOutline w14:w="5092" w14:cap="flat" w14:cmpd="sng" w14:algn="ctr">
                  <w14:solidFill>
                    <w14:srgbClr w14:val="000000"/>
                  </w14:solidFill>
                  <w14:prstDash w14:val="solid"/>
                  <w14:miter w14:val="0"/>
                </w14:textOutline>
              </w:rPr>
              <w:t>（</w:t>
            </w:r>
            <w:r>
              <w:rPr>
                <w:rFonts w:ascii="Times New Roman" w:hAnsi="Times New Roman" w:eastAsia="Times New Roman" w:cs="Times New Roman"/>
                <w:b/>
                <w:bCs/>
                <w:color w:val="auto"/>
                <w:spacing w:val="-1"/>
                <w:sz w:val="28"/>
                <w:szCs w:val="28"/>
              </w:rPr>
              <w:t>22</w:t>
            </w:r>
            <w:r>
              <w:rPr>
                <w:rFonts w:ascii="仿宋" w:hAnsi="仿宋" w:eastAsia="仿宋" w:cs="仿宋"/>
                <w:color w:val="auto"/>
                <w:spacing w:val="-1"/>
                <w:sz w:val="28"/>
                <w:szCs w:val="28"/>
                <w14:textOutline w14:w="5092" w14:cap="flat" w14:cmpd="sng" w14:algn="ctr">
                  <w14:solidFill>
                    <w14:srgbClr w14:val="000000"/>
                  </w14:solidFill>
                  <w14:prstDash w14:val="solid"/>
                  <w14:miter w14:val="0"/>
                </w14:textOutline>
              </w:rPr>
              <w:t>分）</w:t>
            </w:r>
          </w:p>
        </w:tc>
        <w:tc>
          <w:tcPr>
            <w:tcW w:w="4059" w:type="dxa"/>
          </w:tcPr>
          <w:p w14:paraId="7A0DEA1F">
            <w:pPr>
              <w:spacing w:before="56" w:line="228" w:lineRule="auto"/>
              <w:ind w:left="106"/>
              <w:rPr>
                <w:rFonts w:ascii="宋体" w:hAnsi="宋体" w:eastAsia="宋体" w:cs="宋体"/>
                <w:color w:val="auto"/>
                <w:sz w:val="22"/>
                <w:szCs w:val="22"/>
                <w:lang w:eastAsia="zh-CN"/>
              </w:rPr>
            </w:pPr>
            <w:r>
              <w:rPr>
                <w:rFonts w:ascii="Times New Roman" w:hAnsi="Times New Roman" w:eastAsia="Times New Roman" w:cs="Times New Roman"/>
                <w:color w:val="auto"/>
                <w:spacing w:val="2"/>
                <w:sz w:val="22"/>
                <w:szCs w:val="22"/>
                <w:lang w:eastAsia="zh-CN"/>
              </w:rPr>
              <w:t>A</w:t>
            </w:r>
            <w:r>
              <w:rPr>
                <w:rFonts w:ascii="宋体" w:hAnsi="宋体" w:eastAsia="宋体" w:cs="宋体"/>
                <w:color w:val="auto"/>
                <w:spacing w:val="2"/>
                <w:sz w:val="22"/>
                <w:szCs w:val="22"/>
                <w:lang w:eastAsia="zh-CN"/>
              </w:rPr>
              <w:t>、演奏方法基本功扎实正确，演奏技巧高</w:t>
            </w:r>
          </w:p>
        </w:tc>
        <w:tc>
          <w:tcPr>
            <w:tcW w:w="1845" w:type="dxa"/>
          </w:tcPr>
          <w:p w14:paraId="2CD41BF7">
            <w:pPr>
              <w:spacing w:before="56" w:line="228" w:lineRule="auto"/>
              <w:ind w:left="106"/>
              <w:rPr>
                <w:rFonts w:ascii="宋体" w:hAnsi="宋体" w:eastAsia="宋体" w:cs="宋体"/>
                <w:color w:val="auto"/>
                <w:spacing w:val="-5"/>
                <w:sz w:val="22"/>
                <w:szCs w:val="22"/>
              </w:rPr>
            </w:pPr>
            <w:r>
              <w:rPr>
                <w:rFonts w:ascii="宋体" w:hAnsi="宋体" w:eastAsia="宋体" w:cs="宋体"/>
                <w:color w:val="auto"/>
                <w:spacing w:val="-5"/>
                <w:sz w:val="22"/>
                <w:szCs w:val="22"/>
              </w:rPr>
              <w:t>17—22分</w:t>
            </w:r>
          </w:p>
        </w:tc>
        <w:tc>
          <w:tcPr>
            <w:tcW w:w="531" w:type="dxa"/>
            <w:vMerge w:val="restart"/>
            <w:tcBorders>
              <w:bottom w:val="nil"/>
            </w:tcBorders>
          </w:tcPr>
          <w:p w14:paraId="47BEAA40">
            <w:pPr>
              <w:rPr>
                <w:color w:val="auto"/>
              </w:rPr>
            </w:pPr>
          </w:p>
        </w:tc>
      </w:tr>
      <w:tr w14:paraId="246890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9" w:type="dxa"/>
          <w:trHeight w:val="321" w:hRule="atLeast"/>
        </w:trPr>
        <w:tc>
          <w:tcPr>
            <w:tcW w:w="1204" w:type="dxa"/>
            <w:vMerge w:val="continue"/>
            <w:tcBorders>
              <w:top w:val="nil"/>
              <w:bottom w:val="nil"/>
            </w:tcBorders>
          </w:tcPr>
          <w:p w14:paraId="4460AD6B">
            <w:pPr>
              <w:jc w:val="center"/>
              <w:rPr>
                <w:color w:val="auto"/>
              </w:rPr>
            </w:pPr>
          </w:p>
        </w:tc>
        <w:tc>
          <w:tcPr>
            <w:tcW w:w="1278" w:type="dxa"/>
            <w:vMerge w:val="continue"/>
            <w:tcBorders>
              <w:top w:val="nil"/>
              <w:bottom w:val="nil"/>
            </w:tcBorders>
          </w:tcPr>
          <w:p w14:paraId="0CFE92E9">
            <w:pPr>
              <w:jc w:val="center"/>
              <w:rPr>
                <w:color w:val="auto"/>
              </w:rPr>
            </w:pPr>
          </w:p>
        </w:tc>
        <w:tc>
          <w:tcPr>
            <w:tcW w:w="4059" w:type="dxa"/>
          </w:tcPr>
          <w:p w14:paraId="42C0841B">
            <w:pPr>
              <w:spacing w:before="57" w:line="228" w:lineRule="auto"/>
              <w:ind w:left="108"/>
              <w:rPr>
                <w:rFonts w:ascii="宋体" w:hAnsi="宋体" w:eastAsia="宋体" w:cs="宋体"/>
                <w:color w:val="auto"/>
                <w:sz w:val="22"/>
                <w:szCs w:val="22"/>
                <w:lang w:eastAsia="zh-CN"/>
              </w:rPr>
            </w:pPr>
            <w:r>
              <w:rPr>
                <w:rFonts w:ascii="Times New Roman" w:hAnsi="Times New Roman" w:eastAsia="Times New Roman" w:cs="Times New Roman"/>
                <w:color w:val="auto"/>
                <w:spacing w:val="2"/>
                <w:sz w:val="22"/>
                <w:szCs w:val="22"/>
                <w:lang w:eastAsia="zh-CN"/>
              </w:rPr>
              <w:t>B</w:t>
            </w:r>
            <w:r>
              <w:rPr>
                <w:rFonts w:ascii="宋体" w:hAnsi="宋体" w:eastAsia="宋体" w:cs="宋体"/>
                <w:color w:val="auto"/>
                <w:spacing w:val="2"/>
                <w:sz w:val="22"/>
                <w:szCs w:val="22"/>
                <w:lang w:eastAsia="zh-CN"/>
              </w:rPr>
              <w:t>、演奏方法正确，演奏技巧较高</w:t>
            </w:r>
          </w:p>
        </w:tc>
        <w:tc>
          <w:tcPr>
            <w:tcW w:w="1845" w:type="dxa"/>
          </w:tcPr>
          <w:p w14:paraId="2FED0E67">
            <w:pPr>
              <w:spacing w:before="56" w:line="228" w:lineRule="auto"/>
              <w:ind w:left="106"/>
              <w:rPr>
                <w:rFonts w:ascii="宋体" w:hAnsi="宋体" w:eastAsia="宋体" w:cs="宋体"/>
                <w:color w:val="auto"/>
                <w:spacing w:val="-5"/>
                <w:sz w:val="22"/>
                <w:szCs w:val="22"/>
              </w:rPr>
            </w:pPr>
            <w:r>
              <w:rPr>
                <w:rFonts w:ascii="宋体" w:hAnsi="宋体" w:eastAsia="宋体" w:cs="宋体"/>
                <w:color w:val="auto"/>
                <w:spacing w:val="-5"/>
                <w:sz w:val="22"/>
                <w:szCs w:val="22"/>
              </w:rPr>
              <w:t>11—16分</w:t>
            </w:r>
          </w:p>
        </w:tc>
        <w:tc>
          <w:tcPr>
            <w:tcW w:w="531" w:type="dxa"/>
            <w:vMerge w:val="continue"/>
            <w:tcBorders>
              <w:top w:val="nil"/>
              <w:bottom w:val="nil"/>
            </w:tcBorders>
          </w:tcPr>
          <w:p w14:paraId="2BD706CE">
            <w:pPr>
              <w:rPr>
                <w:color w:val="auto"/>
              </w:rPr>
            </w:pPr>
          </w:p>
        </w:tc>
      </w:tr>
      <w:tr w14:paraId="5B9F9D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9" w:type="dxa"/>
          <w:trHeight w:val="321" w:hRule="atLeast"/>
        </w:trPr>
        <w:tc>
          <w:tcPr>
            <w:tcW w:w="1204" w:type="dxa"/>
            <w:vMerge w:val="continue"/>
            <w:tcBorders>
              <w:top w:val="nil"/>
              <w:bottom w:val="nil"/>
            </w:tcBorders>
          </w:tcPr>
          <w:p w14:paraId="44780267">
            <w:pPr>
              <w:jc w:val="center"/>
              <w:rPr>
                <w:color w:val="auto"/>
              </w:rPr>
            </w:pPr>
          </w:p>
        </w:tc>
        <w:tc>
          <w:tcPr>
            <w:tcW w:w="1278" w:type="dxa"/>
            <w:vMerge w:val="continue"/>
            <w:tcBorders>
              <w:top w:val="nil"/>
              <w:bottom w:val="nil"/>
            </w:tcBorders>
          </w:tcPr>
          <w:p w14:paraId="008DF0D8">
            <w:pPr>
              <w:jc w:val="center"/>
              <w:rPr>
                <w:color w:val="auto"/>
              </w:rPr>
            </w:pPr>
          </w:p>
        </w:tc>
        <w:tc>
          <w:tcPr>
            <w:tcW w:w="4059" w:type="dxa"/>
          </w:tcPr>
          <w:p w14:paraId="09B5F11F">
            <w:pPr>
              <w:spacing w:before="57" w:line="228" w:lineRule="auto"/>
              <w:ind w:left="112"/>
              <w:rPr>
                <w:rFonts w:ascii="宋体" w:hAnsi="宋体" w:eastAsia="宋体" w:cs="宋体"/>
                <w:color w:val="auto"/>
                <w:sz w:val="22"/>
                <w:szCs w:val="22"/>
              </w:rPr>
            </w:pPr>
            <w:r>
              <w:rPr>
                <w:rFonts w:ascii="Times New Roman" w:hAnsi="Times New Roman" w:eastAsia="Times New Roman" w:cs="Times New Roman"/>
                <w:color w:val="auto"/>
                <w:spacing w:val="-1"/>
                <w:sz w:val="22"/>
                <w:szCs w:val="22"/>
              </w:rPr>
              <w:t>C</w:t>
            </w:r>
            <w:r>
              <w:rPr>
                <w:rFonts w:ascii="宋体" w:hAnsi="宋体" w:eastAsia="宋体" w:cs="宋体"/>
                <w:color w:val="auto"/>
                <w:spacing w:val="-1"/>
                <w:sz w:val="22"/>
                <w:szCs w:val="22"/>
              </w:rPr>
              <w:t>、演奏方法基本正确，掌握一般演奏技巧</w:t>
            </w:r>
          </w:p>
        </w:tc>
        <w:tc>
          <w:tcPr>
            <w:tcW w:w="1845" w:type="dxa"/>
          </w:tcPr>
          <w:p w14:paraId="425A50C4">
            <w:pPr>
              <w:spacing w:before="56" w:line="228" w:lineRule="auto"/>
              <w:ind w:left="106"/>
              <w:rPr>
                <w:rFonts w:ascii="宋体" w:hAnsi="宋体" w:eastAsia="宋体" w:cs="宋体"/>
                <w:color w:val="auto"/>
                <w:spacing w:val="-5"/>
                <w:sz w:val="22"/>
                <w:szCs w:val="22"/>
              </w:rPr>
            </w:pPr>
            <w:r>
              <w:rPr>
                <w:rFonts w:ascii="宋体" w:hAnsi="宋体" w:eastAsia="宋体" w:cs="宋体"/>
                <w:color w:val="auto"/>
                <w:spacing w:val="-5"/>
                <w:sz w:val="22"/>
                <w:szCs w:val="22"/>
              </w:rPr>
              <w:t>6—10分</w:t>
            </w:r>
          </w:p>
        </w:tc>
        <w:tc>
          <w:tcPr>
            <w:tcW w:w="531" w:type="dxa"/>
            <w:vMerge w:val="continue"/>
            <w:tcBorders>
              <w:top w:val="nil"/>
              <w:bottom w:val="nil"/>
            </w:tcBorders>
          </w:tcPr>
          <w:p w14:paraId="6A202A38">
            <w:pPr>
              <w:rPr>
                <w:color w:val="auto"/>
              </w:rPr>
            </w:pPr>
          </w:p>
        </w:tc>
      </w:tr>
      <w:tr w14:paraId="03DB03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9" w:type="dxa"/>
          <w:trHeight w:val="230" w:hRule="atLeast"/>
        </w:trPr>
        <w:tc>
          <w:tcPr>
            <w:tcW w:w="1204" w:type="dxa"/>
            <w:vMerge w:val="continue"/>
            <w:tcBorders>
              <w:top w:val="nil"/>
              <w:bottom w:val="nil"/>
            </w:tcBorders>
          </w:tcPr>
          <w:p w14:paraId="362A4AF9">
            <w:pPr>
              <w:jc w:val="center"/>
              <w:rPr>
                <w:color w:val="auto"/>
              </w:rPr>
            </w:pPr>
          </w:p>
        </w:tc>
        <w:tc>
          <w:tcPr>
            <w:tcW w:w="1278" w:type="dxa"/>
            <w:vMerge w:val="continue"/>
            <w:tcBorders>
              <w:top w:val="nil"/>
            </w:tcBorders>
          </w:tcPr>
          <w:p w14:paraId="39356395">
            <w:pPr>
              <w:jc w:val="center"/>
              <w:rPr>
                <w:color w:val="auto"/>
              </w:rPr>
            </w:pPr>
          </w:p>
        </w:tc>
        <w:tc>
          <w:tcPr>
            <w:tcW w:w="4059" w:type="dxa"/>
          </w:tcPr>
          <w:p w14:paraId="1AFC0F46">
            <w:pPr>
              <w:spacing w:before="60" w:line="228" w:lineRule="auto"/>
              <w:ind w:left="108"/>
              <w:rPr>
                <w:rFonts w:ascii="宋体" w:hAnsi="宋体" w:eastAsia="宋体" w:cs="宋体"/>
                <w:color w:val="auto"/>
                <w:sz w:val="22"/>
                <w:szCs w:val="22"/>
                <w:lang w:eastAsia="zh-CN"/>
              </w:rPr>
            </w:pPr>
            <w:r>
              <w:rPr>
                <w:rFonts w:ascii="Times New Roman" w:hAnsi="Times New Roman" w:eastAsia="Times New Roman" w:cs="Times New Roman"/>
                <w:color w:val="auto"/>
                <w:spacing w:val="8"/>
                <w:sz w:val="22"/>
                <w:szCs w:val="22"/>
                <w:lang w:eastAsia="zh-CN"/>
              </w:rPr>
              <w:t>D</w:t>
            </w:r>
            <w:r>
              <w:rPr>
                <w:rFonts w:ascii="宋体" w:hAnsi="宋体" w:eastAsia="宋体" w:cs="宋体"/>
                <w:color w:val="auto"/>
                <w:spacing w:val="8"/>
                <w:sz w:val="22"/>
                <w:szCs w:val="22"/>
                <w:lang w:eastAsia="zh-CN"/>
              </w:rPr>
              <w:t>、演奏方法有较大问题或自然条件差</w:t>
            </w:r>
          </w:p>
        </w:tc>
        <w:tc>
          <w:tcPr>
            <w:tcW w:w="1845" w:type="dxa"/>
          </w:tcPr>
          <w:p w14:paraId="74D072AA">
            <w:pPr>
              <w:spacing w:before="56" w:line="228" w:lineRule="auto"/>
              <w:ind w:left="106"/>
              <w:rPr>
                <w:rFonts w:ascii="宋体" w:hAnsi="宋体" w:eastAsia="宋体" w:cs="宋体"/>
                <w:color w:val="auto"/>
                <w:spacing w:val="-5"/>
                <w:sz w:val="22"/>
                <w:szCs w:val="22"/>
              </w:rPr>
            </w:pPr>
            <w:r>
              <w:rPr>
                <w:rFonts w:ascii="宋体" w:hAnsi="宋体" w:eastAsia="宋体" w:cs="宋体"/>
                <w:color w:val="auto"/>
                <w:spacing w:val="-5"/>
                <w:sz w:val="22"/>
                <w:szCs w:val="22"/>
              </w:rPr>
              <w:t>0—5分</w:t>
            </w:r>
          </w:p>
        </w:tc>
        <w:tc>
          <w:tcPr>
            <w:tcW w:w="531" w:type="dxa"/>
            <w:vMerge w:val="continue"/>
            <w:tcBorders>
              <w:top w:val="nil"/>
            </w:tcBorders>
          </w:tcPr>
          <w:p w14:paraId="5E9BDAED">
            <w:pPr>
              <w:rPr>
                <w:color w:val="auto"/>
              </w:rPr>
            </w:pPr>
          </w:p>
        </w:tc>
      </w:tr>
      <w:tr w14:paraId="1D0A97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9" w:type="dxa"/>
          <w:trHeight w:val="628" w:hRule="atLeast"/>
        </w:trPr>
        <w:tc>
          <w:tcPr>
            <w:tcW w:w="1204" w:type="dxa"/>
            <w:vMerge w:val="continue"/>
            <w:tcBorders>
              <w:top w:val="nil"/>
              <w:bottom w:val="nil"/>
            </w:tcBorders>
          </w:tcPr>
          <w:p w14:paraId="75A5EAA0">
            <w:pPr>
              <w:jc w:val="center"/>
              <w:rPr>
                <w:color w:val="auto"/>
              </w:rPr>
            </w:pPr>
          </w:p>
        </w:tc>
        <w:tc>
          <w:tcPr>
            <w:tcW w:w="1278" w:type="dxa"/>
            <w:vMerge w:val="restart"/>
            <w:tcBorders>
              <w:bottom w:val="nil"/>
            </w:tcBorders>
          </w:tcPr>
          <w:p w14:paraId="481EE2D9">
            <w:pPr>
              <w:spacing w:before="176" w:line="624" w:lineRule="exact"/>
              <w:ind w:left="126"/>
              <w:jc w:val="center"/>
              <w:rPr>
                <w:rFonts w:ascii="仿宋" w:hAnsi="仿宋" w:eastAsia="仿宋" w:cs="仿宋"/>
                <w:color w:val="auto"/>
                <w:sz w:val="28"/>
                <w:szCs w:val="28"/>
              </w:rPr>
            </w:pPr>
            <w:r>
              <w:rPr>
                <w:rFonts w:ascii="仿宋" w:hAnsi="仿宋" w:eastAsia="仿宋" w:cs="仿宋"/>
                <w:color w:val="auto"/>
                <w:spacing w:val="-1"/>
                <w:position w:val="26"/>
                <w:sz w:val="28"/>
                <w:szCs w:val="28"/>
                <w14:textOutline w14:w="5092" w14:cap="flat" w14:cmpd="sng" w14:algn="ctr">
                  <w14:solidFill>
                    <w14:srgbClr w14:val="000000"/>
                  </w14:solidFill>
                  <w14:prstDash w14:val="solid"/>
                  <w14:miter w14:val="0"/>
                </w14:textOutline>
              </w:rPr>
              <w:t>表现能力</w:t>
            </w:r>
          </w:p>
          <w:p w14:paraId="7AECB774">
            <w:pPr>
              <w:spacing w:line="219" w:lineRule="auto"/>
              <w:ind w:left="104"/>
              <w:jc w:val="center"/>
              <w:rPr>
                <w:rFonts w:ascii="仿宋" w:hAnsi="仿宋" w:eastAsia="仿宋" w:cs="仿宋"/>
                <w:color w:val="auto"/>
                <w:sz w:val="28"/>
                <w:szCs w:val="28"/>
              </w:rPr>
            </w:pPr>
            <w:r>
              <w:rPr>
                <w:rFonts w:ascii="仿宋" w:hAnsi="仿宋" w:eastAsia="仿宋" w:cs="仿宋"/>
                <w:color w:val="auto"/>
                <w:spacing w:val="-1"/>
                <w:sz w:val="28"/>
                <w:szCs w:val="28"/>
                <w14:textOutline w14:w="5092" w14:cap="flat" w14:cmpd="sng" w14:algn="ctr">
                  <w14:solidFill>
                    <w14:srgbClr w14:val="000000"/>
                  </w14:solidFill>
                  <w14:prstDash w14:val="solid"/>
                  <w14:miter w14:val="0"/>
                </w14:textOutline>
              </w:rPr>
              <w:t>（</w:t>
            </w:r>
            <w:r>
              <w:rPr>
                <w:rFonts w:ascii="Times New Roman" w:hAnsi="Times New Roman" w:eastAsia="Times New Roman" w:cs="Times New Roman"/>
                <w:b/>
                <w:bCs/>
                <w:color w:val="auto"/>
                <w:spacing w:val="-1"/>
                <w:sz w:val="28"/>
                <w:szCs w:val="28"/>
              </w:rPr>
              <w:t>16</w:t>
            </w:r>
            <w:r>
              <w:rPr>
                <w:rFonts w:ascii="仿宋" w:hAnsi="仿宋" w:eastAsia="仿宋" w:cs="仿宋"/>
                <w:color w:val="auto"/>
                <w:spacing w:val="-1"/>
                <w:sz w:val="28"/>
                <w:szCs w:val="28"/>
                <w14:textOutline w14:w="5092" w14:cap="flat" w14:cmpd="sng" w14:algn="ctr">
                  <w14:solidFill>
                    <w14:srgbClr w14:val="000000"/>
                  </w14:solidFill>
                  <w14:prstDash w14:val="solid"/>
                  <w14:miter w14:val="0"/>
                </w14:textOutline>
              </w:rPr>
              <w:t>分）</w:t>
            </w:r>
          </w:p>
        </w:tc>
        <w:tc>
          <w:tcPr>
            <w:tcW w:w="4059" w:type="dxa"/>
          </w:tcPr>
          <w:p w14:paraId="38043E2B">
            <w:pPr>
              <w:spacing w:before="57" w:line="266" w:lineRule="auto"/>
              <w:ind w:left="112" w:right="116" w:hanging="6"/>
              <w:rPr>
                <w:rFonts w:ascii="宋体" w:hAnsi="宋体" w:eastAsia="宋体" w:cs="宋体"/>
                <w:color w:val="auto"/>
                <w:sz w:val="22"/>
                <w:szCs w:val="22"/>
                <w:lang w:eastAsia="zh-CN"/>
              </w:rPr>
            </w:pPr>
            <w:r>
              <w:rPr>
                <w:rFonts w:ascii="Times New Roman" w:hAnsi="Times New Roman" w:eastAsia="Times New Roman" w:cs="Times New Roman"/>
                <w:color w:val="auto"/>
                <w:spacing w:val="-3"/>
                <w:sz w:val="22"/>
                <w:szCs w:val="22"/>
                <w:lang w:eastAsia="zh-CN"/>
              </w:rPr>
              <w:t>A</w:t>
            </w:r>
            <w:r>
              <w:rPr>
                <w:rFonts w:ascii="宋体" w:hAnsi="宋体" w:eastAsia="宋体" w:cs="宋体"/>
                <w:color w:val="auto"/>
                <w:spacing w:val="-3"/>
                <w:sz w:val="22"/>
                <w:szCs w:val="22"/>
                <w:lang w:eastAsia="zh-CN"/>
              </w:rPr>
              <w:t>、表现力和乐感很强，风格把握准确，气</w:t>
            </w:r>
            <w:r>
              <w:rPr>
                <w:rFonts w:ascii="宋体" w:hAnsi="宋体" w:eastAsia="宋体" w:cs="宋体"/>
                <w:color w:val="auto"/>
                <w:spacing w:val="7"/>
                <w:sz w:val="22"/>
                <w:szCs w:val="22"/>
                <w:lang w:eastAsia="zh-CN"/>
              </w:rPr>
              <w:t>质形象良好</w:t>
            </w:r>
          </w:p>
        </w:tc>
        <w:tc>
          <w:tcPr>
            <w:tcW w:w="1845" w:type="dxa"/>
          </w:tcPr>
          <w:p w14:paraId="5BB7CB82">
            <w:pPr>
              <w:spacing w:before="56" w:line="228" w:lineRule="auto"/>
              <w:ind w:left="106"/>
              <w:rPr>
                <w:rFonts w:ascii="宋体" w:hAnsi="宋体" w:eastAsia="宋体" w:cs="宋体"/>
                <w:color w:val="auto"/>
                <w:spacing w:val="-5"/>
                <w:sz w:val="22"/>
                <w:szCs w:val="22"/>
              </w:rPr>
            </w:pPr>
            <w:r>
              <w:rPr>
                <w:rFonts w:ascii="宋体" w:hAnsi="宋体" w:eastAsia="宋体" w:cs="宋体"/>
                <w:color w:val="auto"/>
                <w:spacing w:val="-5"/>
                <w:sz w:val="22"/>
                <w:szCs w:val="22"/>
              </w:rPr>
              <w:t>13—16分</w:t>
            </w:r>
          </w:p>
        </w:tc>
        <w:tc>
          <w:tcPr>
            <w:tcW w:w="531" w:type="dxa"/>
            <w:vMerge w:val="restart"/>
            <w:tcBorders>
              <w:bottom w:val="nil"/>
            </w:tcBorders>
          </w:tcPr>
          <w:p w14:paraId="62334782">
            <w:pPr>
              <w:rPr>
                <w:color w:val="auto"/>
              </w:rPr>
            </w:pPr>
          </w:p>
        </w:tc>
      </w:tr>
      <w:tr w14:paraId="25E5B6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9" w:type="dxa"/>
          <w:trHeight w:val="321" w:hRule="atLeast"/>
        </w:trPr>
        <w:tc>
          <w:tcPr>
            <w:tcW w:w="1204" w:type="dxa"/>
            <w:vMerge w:val="continue"/>
            <w:tcBorders>
              <w:top w:val="nil"/>
              <w:bottom w:val="nil"/>
            </w:tcBorders>
          </w:tcPr>
          <w:p w14:paraId="0D7721D2">
            <w:pPr>
              <w:jc w:val="center"/>
              <w:rPr>
                <w:color w:val="auto"/>
              </w:rPr>
            </w:pPr>
          </w:p>
        </w:tc>
        <w:tc>
          <w:tcPr>
            <w:tcW w:w="1278" w:type="dxa"/>
            <w:vMerge w:val="continue"/>
            <w:tcBorders>
              <w:top w:val="nil"/>
              <w:bottom w:val="nil"/>
            </w:tcBorders>
          </w:tcPr>
          <w:p w14:paraId="14277803">
            <w:pPr>
              <w:jc w:val="center"/>
              <w:rPr>
                <w:color w:val="auto"/>
              </w:rPr>
            </w:pPr>
          </w:p>
        </w:tc>
        <w:tc>
          <w:tcPr>
            <w:tcW w:w="4059" w:type="dxa"/>
          </w:tcPr>
          <w:p w14:paraId="18B60D03">
            <w:pPr>
              <w:spacing w:before="59" w:line="228" w:lineRule="auto"/>
              <w:ind w:left="108"/>
              <w:rPr>
                <w:rFonts w:ascii="宋体" w:hAnsi="宋体" w:eastAsia="宋体" w:cs="宋体"/>
                <w:color w:val="auto"/>
                <w:sz w:val="22"/>
                <w:szCs w:val="22"/>
                <w:lang w:eastAsia="zh-CN"/>
              </w:rPr>
            </w:pPr>
            <w:r>
              <w:rPr>
                <w:rFonts w:ascii="Times New Roman" w:hAnsi="Times New Roman" w:eastAsia="Times New Roman" w:cs="Times New Roman"/>
                <w:color w:val="auto"/>
                <w:spacing w:val="8"/>
                <w:sz w:val="22"/>
                <w:szCs w:val="22"/>
                <w:lang w:eastAsia="zh-CN"/>
              </w:rPr>
              <w:t>B</w:t>
            </w:r>
            <w:r>
              <w:rPr>
                <w:rFonts w:ascii="宋体" w:hAnsi="宋体" w:eastAsia="宋体" w:cs="宋体"/>
                <w:color w:val="auto"/>
                <w:spacing w:val="8"/>
                <w:sz w:val="22"/>
                <w:szCs w:val="22"/>
                <w:lang w:eastAsia="zh-CN"/>
              </w:rPr>
              <w:t>、表现力和乐感良好，气质形象尚可</w:t>
            </w:r>
          </w:p>
        </w:tc>
        <w:tc>
          <w:tcPr>
            <w:tcW w:w="1845" w:type="dxa"/>
          </w:tcPr>
          <w:p w14:paraId="27E7C9AD">
            <w:pPr>
              <w:spacing w:before="56" w:line="228" w:lineRule="auto"/>
              <w:ind w:left="106"/>
              <w:rPr>
                <w:rFonts w:ascii="宋体" w:hAnsi="宋体" w:eastAsia="宋体" w:cs="宋体"/>
                <w:color w:val="auto"/>
                <w:spacing w:val="-5"/>
                <w:sz w:val="22"/>
                <w:szCs w:val="22"/>
              </w:rPr>
            </w:pPr>
            <w:r>
              <w:rPr>
                <w:rFonts w:ascii="宋体" w:hAnsi="宋体" w:eastAsia="宋体" w:cs="宋体"/>
                <w:color w:val="auto"/>
                <w:spacing w:val="-5"/>
                <w:sz w:val="22"/>
                <w:szCs w:val="22"/>
              </w:rPr>
              <w:t>9—12分</w:t>
            </w:r>
          </w:p>
        </w:tc>
        <w:tc>
          <w:tcPr>
            <w:tcW w:w="531" w:type="dxa"/>
            <w:vMerge w:val="continue"/>
            <w:tcBorders>
              <w:top w:val="nil"/>
              <w:bottom w:val="nil"/>
            </w:tcBorders>
          </w:tcPr>
          <w:p w14:paraId="170DD514">
            <w:pPr>
              <w:rPr>
                <w:color w:val="auto"/>
              </w:rPr>
            </w:pPr>
          </w:p>
        </w:tc>
      </w:tr>
      <w:tr w14:paraId="2A9B9E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9" w:type="dxa"/>
          <w:trHeight w:val="324" w:hRule="atLeast"/>
        </w:trPr>
        <w:tc>
          <w:tcPr>
            <w:tcW w:w="1204" w:type="dxa"/>
            <w:vMerge w:val="continue"/>
            <w:tcBorders>
              <w:top w:val="nil"/>
              <w:bottom w:val="nil"/>
            </w:tcBorders>
          </w:tcPr>
          <w:p w14:paraId="43B3940B">
            <w:pPr>
              <w:jc w:val="center"/>
              <w:rPr>
                <w:color w:val="auto"/>
              </w:rPr>
            </w:pPr>
          </w:p>
        </w:tc>
        <w:tc>
          <w:tcPr>
            <w:tcW w:w="1278" w:type="dxa"/>
            <w:vMerge w:val="continue"/>
            <w:tcBorders>
              <w:top w:val="nil"/>
              <w:bottom w:val="nil"/>
            </w:tcBorders>
          </w:tcPr>
          <w:p w14:paraId="026D1605">
            <w:pPr>
              <w:jc w:val="center"/>
              <w:rPr>
                <w:color w:val="auto"/>
              </w:rPr>
            </w:pPr>
          </w:p>
        </w:tc>
        <w:tc>
          <w:tcPr>
            <w:tcW w:w="4059" w:type="dxa"/>
          </w:tcPr>
          <w:p w14:paraId="21ED975F">
            <w:pPr>
              <w:spacing w:before="59" w:line="228" w:lineRule="auto"/>
              <w:ind w:left="112"/>
              <w:rPr>
                <w:rFonts w:ascii="宋体" w:hAnsi="宋体" w:eastAsia="宋体" w:cs="宋体"/>
                <w:color w:val="auto"/>
                <w:sz w:val="22"/>
                <w:szCs w:val="22"/>
                <w:lang w:eastAsia="zh-CN"/>
              </w:rPr>
            </w:pPr>
            <w:r>
              <w:rPr>
                <w:rFonts w:ascii="Times New Roman" w:hAnsi="Times New Roman" w:eastAsia="Times New Roman" w:cs="Times New Roman"/>
                <w:color w:val="auto"/>
                <w:spacing w:val="5"/>
                <w:sz w:val="22"/>
                <w:szCs w:val="22"/>
                <w:lang w:eastAsia="zh-CN"/>
              </w:rPr>
              <w:t>C</w:t>
            </w:r>
            <w:r>
              <w:rPr>
                <w:rFonts w:ascii="宋体" w:hAnsi="宋体" w:eastAsia="宋体" w:cs="宋体"/>
                <w:color w:val="auto"/>
                <w:spacing w:val="5"/>
                <w:sz w:val="22"/>
                <w:szCs w:val="22"/>
                <w:lang w:eastAsia="zh-CN"/>
              </w:rPr>
              <w:t>、具有一定表现力和乐感，气质形象一般</w:t>
            </w:r>
          </w:p>
        </w:tc>
        <w:tc>
          <w:tcPr>
            <w:tcW w:w="1845" w:type="dxa"/>
          </w:tcPr>
          <w:p w14:paraId="278C0F58">
            <w:pPr>
              <w:spacing w:before="56" w:line="228" w:lineRule="auto"/>
              <w:ind w:left="106"/>
              <w:rPr>
                <w:rFonts w:ascii="宋体" w:hAnsi="宋体" w:eastAsia="宋体" w:cs="宋体"/>
                <w:color w:val="auto"/>
                <w:spacing w:val="-5"/>
                <w:sz w:val="22"/>
                <w:szCs w:val="22"/>
              </w:rPr>
            </w:pPr>
            <w:r>
              <w:rPr>
                <w:rFonts w:ascii="宋体" w:hAnsi="宋体" w:eastAsia="宋体" w:cs="宋体"/>
                <w:color w:val="auto"/>
                <w:spacing w:val="-5"/>
                <w:sz w:val="22"/>
                <w:szCs w:val="22"/>
              </w:rPr>
              <w:t>5—8分</w:t>
            </w:r>
          </w:p>
        </w:tc>
        <w:tc>
          <w:tcPr>
            <w:tcW w:w="531" w:type="dxa"/>
            <w:vMerge w:val="continue"/>
            <w:tcBorders>
              <w:top w:val="nil"/>
              <w:bottom w:val="nil"/>
            </w:tcBorders>
          </w:tcPr>
          <w:p w14:paraId="56D9FF81">
            <w:pPr>
              <w:rPr>
                <w:color w:val="auto"/>
              </w:rPr>
            </w:pPr>
          </w:p>
        </w:tc>
      </w:tr>
      <w:tr w14:paraId="3E0489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9" w:type="dxa"/>
          <w:trHeight w:val="288" w:hRule="atLeast"/>
        </w:trPr>
        <w:tc>
          <w:tcPr>
            <w:tcW w:w="1204" w:type="dxa"/>
            <w:vMerge w:val="continue"/>
            <w:tcBorders>
              <w:top w:val="nil"/>
            </w:tcBorders>
          </w:tcPr>
          <w:p w14:paraId="7C21501D">
            <w:pPr>
              <w:jc w:val="center"/>
              <w:rPr>
                <w:color w:val="auto"/>
              </w:rPr>
            </w:pPr>
          </w:p>
        </w:tc>
        <w:tc>
          <w:tcPr>
            <w:tcW w:w="1278" w:type="dxa"/>
            <w:vMerge w:val="continue"/>
            <w:tcBorders>
              <w:top w:val="nil"/>
            </w:tcBorders>
          </w:tcPr>
          <w:p w14:paraId="341D8ED5">
            <w:pPr>
              <w:jc w:val="center"/>
              <w:rPr>
                <w:color w:val="auto"/>
              </w:rPr>
            </w:pPr>
          </w:p>
        </w:tc>
        <w:tc>
          <w:tcPr>
            <w:tcW w:w="4059" w:type="dxa"/>
          </w:tcPr>
          <w:p w14:paraId="0B973367">
            <w:pPr>
              <w:spacing w:before="59" w:line="228" w:lineRule="auto"/>
              <w:ind w:left="108"/>
              <w:rPr>
                <w:rFonts w:ascii="宋体" w:hAnsi="宋体" w:eastAsia="宋体" w:cs="宋体"/>
                <w:color w:val="auto"/>
                <w:sz w:val="22"/>
                <w:szCs w:val="22"/>
                <w:lang w:eastAsia="zh-CN"/>
              </w:rPr>
            </w:pPr>
            <w:r>
              <w:rPr>
                <w:rFonts w:ascii="Times New Roman" w:hAnsi="Times New Roman" w:eastAsia="Times New Roman" w:cs="Times New Roman"/>
                <w:color w:val="auto"/>
                <w:spacing w:val="8"/>
                <w:sz w:val="22"/>
                <w:szCs w:val="22"/>
                <w:lang w:eastAsia="zh-CN"/>
              </w:rPr>
              <w:t>D</w:t>
            </w:r>
            <w:r>
              <w:rPr>
                <w:rFonts w:ascii="宋体" w:hAnsi="宋体" w:eastAsia="宋体" w:cs="宋体"/>
                <w:color w:val="auto"/>
                <w:spacing w:val="8"/>
                <w:sz w:val="22"/>
                <w:szCs w:val="22"/>
                <w:lang w:eastAsia="zh-CN"/>
              </w:rPr>
              <w:t>、表现力、乐感、气质形象差</w:t>
            </w:r>
          </w:p>
        </w:tc>
        <w:tc>
          <w:tcPr>
            <w:tcW w:w="1845" w:type="dxa"/>
          </w:tcPr>
          <w:p w14:paraId="6F4E22FA">
            <w:pPr>
              <w:spacing w:before="56" w:line="228" w:lineRule="auto"/>
              <w:ind w:left="106"/>
              <w:rPr>
                <w:rFonts w:ascii="宋体" w:hAnsi="宋体" w:eastAsia="宋体" w:cs="宋体"/>
                <w:color w:val="auto"/>
                <w:spacing w:val="-5"/>
                <w:sz w:val="22"/>
                <w:szCs w:val="22"/>
              </w:rPr>
            </w:pPr>
            <w:r>
              <w:rPr>
                <w:rFonts w:ascii="宋体" w:hAnsi="宋体" w:eastAsia="宋体" w:cs="宋体"/>
                <w:color w:val="auto"/>
                <w:spacing w:val="-5"/>
                <w:sz w:val="22"/>
                <w:szCs w:val="22"/>
              </w:rPr>
              <w:t>0—4分</w:t>
            </w:r>
          </w:p>
        </w:tc>
        <w:tc>
          <w:tcPr>
            <w:tcW w:w="531" w:type="dxa"/>
            <w:vMerge w:val="continue"/>
            <w:tcBorders>
              <w:top w:val="nil"/>
            </w:tcBorders>
          </w:tcPr>
          <w:p w14:paraId="07227885">
            <w:pPr>
              <w:rPr>
                <w:color w:val="auto"/>
              </w:rPr>
            </w:pPr>
          </w:p>
        </w:tc>
      </w:tr>
      <w:tr w14:paraId="6ABE0E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54" w:hRule="atLeast"/>
        </w:trPr>
        <w:tc>
          <w:tcPr>
            <w:tcW w:w="2482" w:type="dxa"/>
            <w:gridSpan w:val="2"/>
          </w:tcPr>
          <w:p w14:paraId="71DDA520">
            <w:pPr>
              <w:spacing w:line="256" w:lineRule="auto"/>
              <w:rPr>
                <w:color w:val="auto"/>
                <w:lang w:eastAsia="zh-CN"/>
              </w:rPr>
            </w:pPr>
          </w:p>
          <w:p w14:paraId="1955F212">
            <w:pPr>
              <w:spacing w:line="256" w:lineRule="auto"/>
              <w:rPr>
                <w:color w:val="auto"/>
                <w:lang w:eastAsia="zh-CN"/>
              </w:rPr>
            </w:pPr>
          </w:p>
          <w:p w14:paraId="11BAEC8C">
            <w:pPr>
              <w:spacing w:line="256" w:lineRule="auto"/>
              <w:rPr>
                <w:color w:val="auto"/>
                <w:lang w:eastAsia="zh-CN"/>
              </w:rPr>
            </w:pPr>
          </w:p>
          <w:p w14:paraId="0F34A610">
            <w:pPr>
              <w:spacing w:before="91" w:line="624" w:lineRule="exact"/>
              <w:ind w:firstLine="274" w:firstLineChars="100"/>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pPr>
            <w:r>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高水平管</w:t>
            </w:r>
            <w:r>
              <w:rPr>
                <w:rFonts w:hint="eastAsia"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弦</w:t>
            </w:r>
            <w:r>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乐团</w:t>
            </w:r>
          </w:p>
          <w:p w14:paraId="5C77BE67">
            <w:pPr>
              <w:spacing w:before="91" w:line="624" w:lineRule="exact"/>
              <w:ind w:firstLine="274" w:firstLineChars="100"/>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pPr>
            <w:r>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基本功</w:t>
            </w:r>
          </w:p>
          <w:p w14:paraId="66E21828">
            <w:pPr>
              <w:spacing w:before="91" w:line="624" w:lineRule="exact"/>
              <w:ind w:firstLine="274" w:firstLineChars="100"/>
              <w:rPr>
                <w:rFonts w:ascii="仿宋" w:hAnsi="仿宋" w:eastAsia="仿宋" w:cs="仿宋"/>
                <w:color w:val="auto"/>
                <w:sz w:val="28"/>
                <w:szCs w:val="28"/>
                <w:lang w:eastAsia="zh-CN"/>
              </w:rPr>
            </w:pPr>
            <w:r>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（24分）</w:t>
            </w:r>
          </w:p>
        </w:tc>
        <w:tc>
          <w:tcPr>
            <w:tcW w:w="4059" w:type="dxa"/>
          </w:tcPr>
          <w:p w14:paraId="5861B60D">
            <w:pPr>
              <w:spacing w:line="247" w:lineRule="auto"/>
              <w:rPr>
                <w:rFonts w:ascii="宋体" w:hAnsi="宋体" w:eastAsia="宋体" w:cs="宋体"/>
                <w:color w:val="auto"/>
                <w:spacing w:val="8"/>
                <w:sz w:val="22"/>
                <w:szCs w:val="22"/>
                <w:lang w:eastAsia="zh-CN"/>
              </w:rPr>
            </w:pPr>
          </w:p>
          <w:p w14:paraId="34B5A65D">
            <w:pPr>
              <w:spacing w:before="61" w:line="266" w:lineRule="auto"/>
              <w:ind w:right="173"/>
              <w:rPr>
                <w:rFonts w:ascii="宋体" w:hAnsi="宋体" w:eastAsia="宋体" w:cs="宋体"/>
                <w:color w:val="auto"/>
                <w:spacing w:val="8"/>
                <w:sz w:val="22"/>
                <w:szCs w:val="22"/>
                <w:lang w:eastAsia="zh-CN"/>
              </w:rPr>
            </w:pPr>
            <w:r>
              <w:rPr>
                <w:rFonts w:ascii="宋体" w:hAnsi="宋体" w:eastAsia="宋体" w:cs="宋体"/>
                <w:color w:val="auto"/>
                <w:spacing w:val="8"/>
                <w:sz w:val="22"/>
                <w:szCs w:val="22"/>
                <w:lang w:eastAsia="zh-CN"/>
              </w:rPr>
              <w:t>考核管乐学生的音准、气息和速度。速度最低60（每拍2个八分音符）</w:t>
            </w:r>
            <w:r>
              <w:rPr>
                <w:rFonts w:hint="eastAsia" w:ascii="宋体" w:hAnsi="宋体" w:eastAsia="宋体" w:cs="宋体"/>
                <w:color w:val="auto"/>
                <w:spacing w:val="8"/>
                <w:sz w:val="22"/>
                <w:szCs w:val="22"/>
                <w:lang w:eastAsia="zh-CN"/>
              </w:rPr>
              <w:t>。</w:t>
            </w:r>
          </w:p>
          <w:p w14:paraId="6F956264">
            <w:pPr>
              <w:spacing w:before="78" w:line="284" w:lineRule="auto"/>
              <w:ind w:left="111" w:right="123"/>
              <w:jc w:val="both"/>
              <w:rPr>
                <w:rFonts w:ascii="宋体" w:hAnsi="宋体" w:eastAsia="宋体" w:cs="宋体"/>
                <w:color w:val="auto"/>
                <w:spacing w:val="8"/>
                <w:sz w:val="22"/>
                <w:szCs w:val="22"/>
                <w:lang w:eastAsia="zh-CN"/>
              </w:rPr>
            </w:pPr>
            <w:r>
              <w:rPr>
                <w:rFonts w:ascii="宋体" w:hAnsi="宋体" w:eastAsia="宋体" w:cs="宋体"/>
                <w:color w:val="auto"/>
                <w:spacing w:val="8"/>
                <w:sz w:val="22"/>
                <w:szCs w:val="22"/>
                <w:lang w:eastAsia="zh-CN"/>
              </w:rPr>
              <w:t>考核弦乐学生的音准、演奏的连贯性和速度。小提琴速度最低60（每拍4个十六分音符）。大提琴速度最低60（每拍2个八分音符）。</w:t>
            </w:r>
          </w:p>
          <w:p w14:paraId="7C063A68">
            <w:pPr>
              <w:spacing w:before="62" w:line="266" w:lineRule="auto"/>
              <w:ind w:left="111" w:right="173"/>
              <w:rPr>
                <w:rFonts w:ascii="宋体" w:hAnsi="宋体" w:eastAsia="宋体" w:cs="宋体"/>
                <w:color w:val="auto"/>
                <w:spacing w:val="8"/>
                <w:sz w:val="22"/>
                <w:szCs w:val="22"/>
              </w:rPr>
            </w:pPr>
            <w:r>
              <w:rPr>
                <w:rFonts w:ascii="宋体" w:hAnsi="宋体" w:eastAsia="宋体" w:cs="宋体"/>
                <w:color w:val="auto"/>
                <w:spacing w:val="8"/>
                <w:sz w:val="22"/>
                <w:szCs w:val="22"/>
                <w:lang w:eastAsia="zh-CN"/>
              </w:rPr>
              <w:t>考核打击乐学生视奏的准确性、连贯性和速度。</w:t>
            </w:r>
            <w:r>
              <w:rPr>
                <w:rFonts w:ascii="宋体" w:hAnsi="宋体" w:eastAsia="宋体" w:cs="宋体"/>
                <w:color w:val="auto"/>
                <w:spacing w:val="8"/>
                <w:sz w:val="22"/>
                <w:szCs w:val="22"/>
              </w:rPr>
              <w:t>速度最低60。</w:t>
            </w:r>
          </w:p>
        </w:tc>
        <w:tc>
          <w:tcPr>
            <w:tcW w:w="1845" w:type="dxa"/>
          </w:tcPr>
          <w:p w14:paraId="74E49D82">
            <w:pPr>
              <w:spacing w:before="56" w:line="228" w:lineRule="auto"/>
              <w:ind w:left="106"/>
              <w:rPr>
                <w:rFonts w:ascii="宋体" w:hAnsi="宋体" w:eastAsia="宋体" w:cs="宋体"/>
                <w:color w:val="auto"/>
                <w:spacing w:val="-5"/>
                <w:sz w:val="22"/>
                <w:szCs w:val="22"/>
                <w:lang w:eastAsia="zh-CN"/>
              </w:rPr>
            </w:pPr>
            <w:r>
              <w:rPr>
                <w:rFonts w:ascii="宋体" w:hAnsi="宋体" w:eastAsia="宋体" w:cs="宋体"/>
                <w:color w:val="auto"/>
                <w:spacing w:val="-5"/>
                <w:sz w:val="22"/>
                <w:szCs w:val="22"/>
                <w:lang w:eastAsia="zh-CN"/>
              </w:rPr>
              <w:t>管乐学生演奏时音准不准确扣分（1分/个），气息不连贯扣分（1分/处）。达不到最低速度扣10分。</w:t>
            </w:r>
          </w:p>
          <w:p w14:paraId="62C3E9F7">
            <w:pPr>
              <w:spacing w:before="56" w:line="228" w:lineRule="auto"/>
              <w:ind w:left="106"/>
              <w:rPr>
                <w:rFonts w:ascii="宋体" w:hAnsi="宋体" w:eastAsia="宋体" w:cs="宋体"/>
                <w:color w:val="auto"/>
                <w:spacing w:val="-5"/>
                <w:sz w:val="22"/>
                <w:szCs w:val="22"/>
                <w:lang w:eastAsia="zh-CN"/>
              </w:rPr>
            </w:pPr>
            <w:r>
              <w:rPr>
                <w:rFonts w:ascii="宋体" w:hAnsi="宋体" w:eastAsia="宋体" w:cs="宋体"/>
                <w:color w:val="auto"/>
                <w:spacing w:val="-5"/>
                <w:sz w:val="22"/>
                <w:szCs w:val="22"/>
                <w:lang w:eastAsia="zh-CN"/>
              </w:rPr>
              <w:t>弦乐学生演奏时音准不准确扣分（1分/个），演奏不连贯扣分（1分/处）。达不到最低速度扣5分</w:t>
            </w:r>
            <w:r>
              <w:rPr>
                <w:rFonts w:hint="eastAsia" w:ascii="宋体" w:hAnsi="宋体" w:eastAsia="宋体" w:cs="宋体"/>
                <w:color w:val="auto"/>
                <w:spacing w:val="-5"/>
                <w:sz w:val="22"/>
                <w:szCs w:val="22"/>
                <w:lang w:eastAsia="zh-CN"/>
              </w:rPr>
              <w:t>。</w:t>
            </w:r>
          </w:p>
          <w:p w14:paraId="4E3C1F6D">
            <w:pPr>
              <w:spacing w:before="56" w:line="228" w:lineRule="auto"/>
              <w:ind w:left="106"/>
              <w:rPr>
                <w:rFonts w:ascii="宋体" w:hAnsi="宋体" w:eastAsia="宋体" w:cs="宋体"/>
                <w:color w:val="auto"/>
                <w:spacing w:val="-5"/>
                <w:sz w:val="22"/>
                <w:szCs w:val="22"/>
                <w:lang w:eastAsia="zh-CN"/>
              </w:rPr>
            </w:pPr>
            <w:r>
              <w:rPr>
                <w:rFonts w:ascii="宋体" w:hAnsi="宋体" w:eastAsia="宋体" w:cs="宋体"/>
                <w:color w:val="auto"/>
                <w:spacing w:val="-5"/>
                <w:sz w:val="22"/>
                <w:szCs w:val="22"/>
                <w:lang w:eastAsia="zh-CN"/>
              </w:rPr>
              <w:t>打击乐学生视奏不准确扣分</w:t>
            </w:r>
          </w:p>
          <w:p w14:paraId="1F8FF87C">
            <w:pPr>
              <w:spacing w:before="56" w:line="228" w:lineRule="auto"/>
              <w:ind w:left="106"/>
              <w:rPr>
                <w:rFonts w:ascii="宋体" w:hAnsi="宋体" w:eastAsia="宋体" w:cs="宋体"/>
                <w:color w:val="auto"/>
                <w:spacing w:val="-5"/>
                <w:sz w:val="22"/>
                <w:szCs w:val="22"/>
                <w:lang w:eastAsia="zh-CN"/>
              </w:rPr>
            </w:pPr>
            <w:r>
              <w:rPr>
                <w:rFonts w:ascii="宋体" w:hAnsi="宋体" w:eastAsia="宋体" w:cs="宋体"/>
                <w:color w:val="auto"/>
                <w:spacing w:val="-5"/>
                <w:sz w:val="22"/>
                <w:szCs w:val="22"/>
                <w:lang w:eastAsia="zh-CN"/>
              </w:rPr>
              <w:t>（1分/处），演奏不连贯扣分（1分/处）。达不到最低速度扣5分</w:t>
            </w:r>
            <w:r>
              <w:rPr>
                <w:rFonts w:hint="eastAsia" w:ascii="宋体" w:hAnsi="宋体" w:eastAsia="宋体" w:cs="宋体"/>
                <w:color w:val="auto"/>
                <w:spacing w:val="-5"/>
                <w:sz w:val="22"/>
                <w:szCs w:val="22"/>
                <w:lang w:eastAsia="zh-CN"/>
              </w:rPr>
              <w:t>。</w:t>
            </w:r>
          </w:p>
        </w:tc>
        <w:tc>
          <w:tcPr>
            <w:tcW w:w="540" w:type="dxa"/>
            <w:gridSpan w:val="2"/>
          </w:tcPr>
          <w:p w14:paraId="634D8883">
            <w:pPr>
              <w:rPr>
                <w:color w:val="auto"/>
                <w:lang w:eastAsia="zh-CN"/>
              </w:rPr>
            </w:pPr>
          </w:p>
        </w:tc>
      </w:tr>
      <w:tr w14:paraId="2B475F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83" w:hRule="atLeast"/>
        </w:trPr>
        <w:tc>
          <w:tcPr>
            <w:tcW w:w="2482" w:type="dxa"/>
            <w:gridSpan w:val="2"/>
          </w:tcPr>
          <w:p w14:paraId="09E28A3D">
            <w:pPr>
              <w:spacing w:before="91" w:line="624" w:lineRule="exact"/>
              <w:ind w:firstLine="274" w:firstLineChars="100"/>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pPr>
            <w:r>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高水平管</w:t>
            </w:r>
            <w:r>
              <w:rPr>
                <w:rFonts w:hint="eastAsia"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弦</w:t>
            </w:r>
            <w:r>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乐团</w:t>
            </w:r>
          </w:p>
          <w:p w14:paraId="6FC57BF3">
            <w:pPr>
              <w:spacing w:before="91" w:line="624" w:lineRule="exact"/>
              <w:ind w:firstLine="274" w:firstLineChars="100"/>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pPr>
            <w:r>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五线谱视唱</w:t>
            </w:r>
          </w:p>
          <w:p w14:paraId="5899B118">
            <w:pPr>
              <w:spacing w:before="91" w:line="624" w:lineRule="exact"/>
              <w:ind w:firstLine="274" w:firstLineChars="100"/>
              <w:rPr>
                <w:rFonts w:ascii="仿宋" w:hAnsi="仿宋" w:eastAsia="仿宋" w:cs="仿宋"/>
                <w:color w:val="auto"/>
                <w:sz w:val="28"/>
                <w:szCs w:val="28"/>
              </w:rPr>
            </w:pPr>
            <w:r>
              <w:rPr>
                <w:rFonts w:ascii="仿宋" w:hAnsi="仿宋" w:eastAsia="仿宋" w:cs="仿宋"/>
                <w:color w:val="auto"/>
                <w:spacing w:val="-3"/>
                <w:position w:val="26"/>
                <w:sz w:val="28"/>
                <w:szCs w:val="28"/>
                <w14:textOutline w14:w="5092" w14:cap="flat" w14:cmpd="sng" w14:algn="ctr">
                  <w14:solidFill>
                    <w14:srgbClr w14:val="000000"/>
                  </w14:solidFill>
                  <w14:prstDash w14:val="solid"/>
                  <w14:miter w14:val="0"/>
                </w14:textOutline>
              </w:rPr>
              <w:t>（8分）</w:t>
            </w:r>
          </w:p>
        </w:tc>
        <w:tc>
          <w:tcPr>
            <w:tcW w:w="4059" w:type="dxa"/>
          </w:tcPr>
          <w:p w14:paraId="1AA0E1A2">
            <w:pPr>
              <w:spacing w:before="59" w:line="228" w:lineRule="auto"/>
              <w:ind w:left="112"/>
              <w:rPr>
                <w:rFonts w:ascii="宋体" w:hAnsi="宋体" w:eastAsia="宋体" w:cs="宋体"/>
                <w:color w:val="auto"/>
                <w:spacing w:val="8"/>
                <w:sz w:val="22"/>
                <w:szCs w:val="22"/>
                <w:lang w:eastAsia="zh-CN"/>
              </w:rPr>
            </w:pPr>
            <w:r>
              <w:rPr>
                <w:rFonts w:ascii="宋体" w:hAnsi="宋体" w:eastAsia="宋体" w:cs="宋体"/>
                <w:color w:val="auto"/>
                <w:spacing w:val="8"/>
                <w:sz w:val="22"/>
                <w:szCs w:val="22"/>
                <w:lang w:eastAsia="zh-CN"/>
              </w:rPr>
              <w:t>考核考生视唱旋律的准确程度。</w:t>
            </w:r>
          </w:p>
        </w:tc>
        <w:tc>
          <w:tcPr>
            <w:tcW w:w="1845" w:type="dxa"/>
          </w:tcPr>
          <w:p w14:paraId="371512DF">
            <w:pPr>
              <w:spacing w:before="56" w:line="228" w:lineRule="auto"/>
              <w:ind w:left="106"/>
              <w:rPr>
                <w:rFonts w:ascii="宋体" w:hAnsi="宋体" w:eastAsia="宋体" w:cs="宋体"/>
                <w:color w:val="auto"/>
                <w:spacing w:val="-5"/>
                <w:sz w:val="22"/>
                <w:szCs w:val="22"/>
              </w:rPr>
            </w:pPr>
            <w:r>
              <w:rPr>
                <w:rFonts w:ascii="宋体" w:hAnsi="宋体" w:eastAsia="宋体" w:cs="宋体"/>
                <w:color w:val="auto"/>
                <w:spacing w:val="-5"/>
                <w:sz w:val="22"/>
                <w:szCs w:val="22"/>
              </w:rPr>
              <w:t>每小节1分</w:t>
            </w:r>
          </w:p>
        </w:tc>
        <w:tc>
          <w:tcPr>
            <w:tcW w:w="540" w:type="dxa"/>
            <w:gridSpan w:val="2"/>
          </w:tcPr>
          <w:p w14:paraId="596787D4">
            <w:pPr>
              <w:rPr>
                <w:color w:val="auto"/>
              </w:rPr>
            </w:pPr>
          </w:p>
        </w:tc>
      </w:tr>
      <w:tr w14:paraId="28C876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83" w:hRule="atLeast"/>
        </w:trPr>
        <w:tc>
          <w:tcPr>
            <w:tcW w:w="2482" w:type="dxa"/>
            <w:gridSpan w:val="2"/>
          </w:tcPr>
          <w:p w14:paraId="08199EE7">
            <w:pPr>
              <w:spacing w:before="91" w:line="624" w:lineRule="exact"/>
              <w:ind w:firstLine="274" w:firstLineChars="100"/>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pPr>
            <w:r>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高水平管</w:t>
            </w:r>
            <w:r>
              <w:rPr>
                <w:rFonts w:hint="eastAsia"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弦</w:t>
            </w:r>
            <w:r>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乐团</w:t>
            </w:r>
          </w:p>
          <w:p w14:paraId="4F9F77AC">
            <w:pPr>
              <w:spacing w:before="91" w:line="624" w:lineRule="exact"/>
              <w:ind w:firstLine="274" w:firstLineChars="100"/>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pPr>
            <w:r>
              <w:rPr>
                <w:rFonts w:ascii="仿宋" w:hAnsi="仿宋" w:eastAsia="仿宋" w:cs="仿宋"/>
                <w:color w:val="auto"/>
                <w:spacing w:val="-3"/>
                <w:position w:val="26"/>
                <w:sz w:val="28"/>
                <w:szCs w:val="28"/>
                <w:lang w:eastAsia="zh-CN"/>
                <w14:textOutline w14:w="5092" w14:cap="flat" w14:cmpd="sng" w14:algn="ctr">
                  <w14:solidFill>
                    <w14:srgbClr w14:val="000000"/>
                  </w14:solidFill>
                  <w14:prstDash w14:val="solid"/>
                  <w14:miter w14:val="0"/>
                </w14:textOutline>
              </w:rPr>
              <w:t>模打（唱）节奏</w:t>
            </w:r>
          </w:p>
          <w:p w14:paraId="35C5AD21">
            <w:pPr>
              <w:spacing w:before="91" w:line="624" w:lineRule="exact"/>
              <w:ind w:firstLine="274" w:firstLineChars="100"/>
              <w:rPr>
                <w:rFonts w:ascii="仿宋" w:hAnsi="仿宋" w:eastAsia="仿宋" w:cs="仿宋"/>
                <w:color w:val="auto"/>
                <w:spacing w:val="19"/>
                <w:sz w:val="28"/>
                <w:szCs w:val="28"/>
                <w14:textOutline w14:w="5092" w14:cap="flat" w14:cmpd="sng" w14:algn="ctr">
                  <w14:solidFill>
                    <w14:srgbClr w14:val="000000"/>
                  </w14:solidFill>
                  <w14:prstDash w14:val="solid"/>
                  <w14:miter w14:val="0"/>
                </w14:textOutline>
              </w:rPr>
            </w:pPr>
            <w:r>
              <w:rPr>
                <w:rFonts w:ascii="仿宋" w:hAnsi="仿宋" w:eastAsia="仿宋" w:cs="仿宋"/>
                <w:color w:val="auto"/>
                <w:spacing w:val="-3"/>
                <w:position w:val="26"/>
                <w:sz w:val="28"/>
                <w:szCs w:val="28"/>
                <w14:textOutline w14:w="5092" w14:cap="flat" w14:cmpd="sng" w14:algn="ctr">
                  <w14:solidFill>
                    <w14:srgbClr w14:val="000000"/>
                  </w14:solidFill>
                  <w14:prstDash w14:val="solid"/>
                  <w14:miter w14:val="0"/>
                </w14:textOutline>
              </w:rPr>
              <w:t>（8分）</w:t>
            </w:r>
          </w:p>
        </w:tc>
        <w:tc>
          <w:tcPr>
            <w:tcW w:w="4059" w:type="dxa"/>
          </w:tcPr>
          <w:p w14:paraId="1E4604B0">
            <w:pPr>
              <w:spacing w:before="59" w:line="228" w:lineRule="auto"/>
              <w:ind w:left="112"/>
              <w:rPr>
                <w:rFonts w:ascii="宋体" w:hAnsi="宋体" w:eastAsia="宋体" w:cs="宋体"/>
                <w:color w:val="auto"/>
                <w:spacing w:val="8"/>
                <w:sz w:val="22"/>
                <w:szCs w:val="22"/>
                <w:lang w:eastAsia="zh-CN"/>
              </w:rPr>
            </w:pPr>
            <w:r>
              <w:rPr>
                <w:rFonts w:ascii="宋体" w:hAnsi="宋体" w:eastAsia="宋体" w:cs="宋体"/>
                <w:color w:val="auto"/>
                <w:spacing w:val="8"/>
                <w:sz w:val="22"/>
                <w:szCs w:val="22"/>
                <w:lang w:eastAsia="zh-CN"/>
              </w:rPr>
              <w:t>考核考生模打（唱）节奏的准确程度。</w:t>
            </w:r>
          </w:p>
        </w:tc>
        <w:tc>
          <w:tcPr>
            <w:tcW w:w="1845" w:type="dxa"/>
          </w:tcPr>
          <w:p w14:paraId="73329657">
            <w:pPr>
              <w:spacing w:before="56" w:line="228" w:lineRule="auto"/>
              <w:ind w:left="106"/>
              <w:rPr>
                <w:rFonts w:ascii="宋体" w:hAnsi="宋体" w:eastAsia="宋体" w:cs="宋体"/>
                <w:color w:val="auto"/>
                <w:spacing w:val="-5"/>
                <w:sz w:val="22"/>
                <w:szCs w:val="22"/>
              </w:rPr>
            </w:pPr>
            <w:r>
              <w:rPr>
                <w:rFonts w:ascii="宋体" w:hAnsi="宋体" w:eastAsia="宋体" w:cs="宋体"/>
                <w:color w:val="auto"/>
                <w:spacing w:val="-5"/>
                <w:sz w:val="22"/>
                <w:szCs w:val="22"/>
              </w:rPr>
              <w:t>每小节1分</w:t>
            </w:r>
          </w:p>
        </w:tc>
        <w:tc>
          <w:tcPr>
            <w:tcW w:w="540" w:type="dxa"/>
            <w:gridSpan w:val="2"/>
          </w:tcPr>
          <w:p w14:paraId="60DD6C02">
            <w:pPr>
              <w:rPr>
                <w:color w:val="auto"/>
              </w:rPr>
            </w:pPr>
          </w:p>
        </w:tc>
      </w:tr>
    </w:tbl>
    <w:p w14:paraId="068C5AA8">
      <w:pPr>
        <w:rPr>
          <w:color w:val="auto"/>
        </w:rPr>
        <w:sectPr>
          <w:pgSz w:w="11907" w:h="16839"/>
          <w:pgMar w:top="2098" w:right="1474" w:bottom="1984" w:left="1587" w:header="0" w:footer="0" w:gutter="0"/>
          <w:cols w:space="720" w:num="1"/>
        </w:sectPr>
      </w:pPr>
    </w:p>
    <w:p w14:paraId="03174891">
      <w:pPr>
        <w:pStyle w:val="2"/>
        <w:adjustRightInd/>
        <w:snapToGrid/>
        <w:spacing w:line="360" w:lineRule="auto"/>
        <w:jc w:val="both"/>
        <w:rPr>
          <w:color w:val="auto"/>
          <w:spacing w:val="8"/>
          <w:position w:val="19"/>
        </w:rPr>
      </w:pPr>
    </w:p>
    <w:sectPr>
      <w:pgSz w:w="11906" w:h="16839"/>
      <w:pgMar w:top="1431" w:right="1473" w:bottom="1429" w:left="1596" w:header="0" w:footer="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Malgun Gothic">
    <w:panose1 w:val="020B0503020000020004"/>
    <w:charset w:val="81"/>
    <w:family w:val="swiss"/>
    <w:pitch w:val="default"/>
    <w:sig w:usb0="900002AF" w:usb1="01D77CFB" w:usb2="00000012" w:usb3="00000000" w:csb0="00080001"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bordersDoNotSurroundHeader w:val="1"/>
  <w:bordersDoNotSurroundFooter w:val="1"/>
  <w:documentProtection w:enforcement="0"/>
  <w:defaultTabStop w:val="420"/>
  <w:characterSpacingControl w:val="doNotCompress"/>
  <w:compat>
    <w:spaceForUL/>
    <w:ulTrailSpace/>
    <w:useFELayout/>
    <w:compatSetting w:name="compatibilityMode" w:uri="http://schemas.microsoft.com/office/word" w:val="14"/>
  </w:compat>
  <w:docVars>
    <w:docVar w:name="commondata" w:val="eyJoZGlkIjoiMzAxNDJlOGJmYjgyN2I0OWFiMjQ1MzRhNGNkYTNiZDIifQ=="/>
    <w:docVar w:name="KSO_WPS_MARK_KEY" w:val="e05f5cf0-3c39-45dc-9b5e-a70403a562f7"/>
  </w:docVars>
  <w:rsids>
    <w:rsidRoot w:val="00E82ADF"/>
    <w:rsid w:val="00002BC6"/>
    <w:rsid w:val="000056B4"/>
    <w:rsid w:val="00041696"/>
    <w:rsid w:val="00042D3C"/>
    <w:rsid w:val="00086052"/>
    <w:rsid w:val="000E271C"/>
    <w:rsid w:val="000F2758"/>
    <w:rsid w:val="0012614C"/>
    <w:rsid w:val="00197461"/>
    <w:rsid w:val="00256E2F"/>
    <w:rsid w:val="00280C3A"/>
    <w:rsid w:val="002F7538"/>
    <w:rsid w:val="00365BF5"/>
    <w:rsid w:val="003670DF"/>
    <w:rsid w:val="003B7251"/>
    <w:rsid w:val="004475C1"/>
    <w:rsid w:val="004658DF"/>
    <w:rsid w:val="0047021F"/>
    <w:rsid w:val="00476C6D"/>
    <w:rsid w:val="0055577F"/>
    <w:rsid w:val="005D02D8"/>
    <w:rsid w:val="006171CB"/>
    <w:rsid w:val="0069078D"/>
    <w:rsid w:val="008447BB"/>
    <w:rsid w:val="008E73E3"/>
    <w:rsid w:val="009443DF"/>
    <w:rsid w:val="00A00AF0"/>
    <w:rsid w:val="00A16C76"/>
    <w:rsid w:val="00AA6808"/>
    <w:rsid w:val="00AE6A2A"/>
    <w:rsid w:val="00B13B61"/>
    <w:rsid w:val="00BB1ABC"/>
    <w:rsid w:val="00C10C5D"/>
    <w:rsid w:val="00C3139A"/>
    <w:rsid w:val="00C6168B"/>
    <w:rsid w:val="00CE4D32"/>
    <w:rsid w:val="00D96394"/>
    <w:rsid w:val="00E82ADF"/>
    <w:rsid w:val="00EE4756"/>
    <w:rsid w:val="00F447E3"/>
    <w:rsid w:val="00FC1A28"/>
    <w:rsid w:val="00FD62EC"/>
    <w:rsid w:val="00FF42DA"/>
    <w:rsid w:val="03854524"/>
    <w:rsid w:val="03CC21CB"/>
    <w:rsid w:val="0620522A"/>
    <w:rsid w:val="07043D9E"/>
    <w:rsid w:val="07515EA8"/>
    <w:rsid w:val="079C0367"/>
    <w:rsid w:val="092C1FBB"/>
    <w:rsid w:val="096227F5"/>
    <w:rsid w:val="0B67689F"/>
    <w:rsid w:val="0C197F77"/>
    <w:rsid w:val="0CB07925"/>
    <w:rsid w:val="0F242EBB"/>
    <w:rsid w:val="0FC25C6E"/>
    <w:rsid w:val="11FA371C"/>
    <w:rsid w:val="121D3BF2"/>
    <w:rsid w:val="13547AE7"/>
    <w:rsid w:val="166939CC"/>
    <w:rsid w:val="17C14D2E"/>
    <w:rsid w:val="17CE2358"/>
    <w:rsid w:val="17E51656"/>
    <w:rsid w:val="197762DD"/>
    <w:rsid w:val="1AC266A8"/>
    <w:rsid w:val="1ACF4EEE"/>
    <w:rsid w:val="1B99078D"/>
    <w:rsid w:val="1C4306F9"/>
    <w:rsid w:val="1CC2298A"/>
    <w:rsid w:val="1D9B0875"/>
    <w:rsid w:val="1EFE3AAD"/>
    <w:rsid w:val="1F7363D1"/>
    <w:rsid w:val="20231E9F"/>
    <w:rsid w:val="20574C1C"/>
    <w:rsid w:val="22BB7A5E"/>
    <w:rsid w:val="22E42C35"/>
    <w:rsid w:val="23166B67"/>
    <w:rsid w:val="24B655C7"/>
    <w:rsid w:val="25AB4B0C"/>
    <w:rsid w:val="25E14C56"/>
    <w:rsid w:val="27C052F3"/>
    <w:rsid w:val="28BC5645"/>
    <w:rsid w:val="29F623A2"/>
    <w:rsid w:val="2B73529C"/>
    <w:rsid w:val="2BCE6231"/>
    <w:rsid w:val="2C0448E0"/>
    <w:rsid w:val="2DA71A3B"/>
    <w:rsid w:val="2EB711FE"/>
    <w:rsid w:val="2EDE0405"/>
    <w:rsid w:val="2F9E79B0"/>
    <w:rsid w:val="30126E54"/>
    <w:rsid w:val="30DD6F16"/>
    <w:rsid w:val="31C53C32"/>
    <w:rsid w:val="34FA0097"/>
    <w:rsid w:val="357D65D2"/>
    <w:rsid w:val="3590319C"/>
    <w:rsid w:val="36356EAC"/>
    <w:rsid w:val="36826596"/>
    <w:rsid w:val="36B734CD"/>
    <w:rsid w:val="395C2D2E"/>
    <w:rsid w:val="39654761"/>
    <w:rsid w:val="3B392F9B"/>
    <w:rsid w:val="3CF72F9B"/>
    <w:rsid w:val="3E703177"/>
    <w:rsid w:val="3FC03C8B"/>
    <w:rsid w:val="406960D0"/>
    <w:rsid w:val="427A6373"/>
    <w:rsid w:val="43C779BF"/>
    <w:rsid w:val="447473F3"/>
    <w:rsid w:val="459C2AF6"/>
    <w:rsid w:val="45A86A88"/>
    <w:rsid w:val="45F4468E"/>
    <w:rsid w:val="47C13F4A"/>
    <w:rsid w:val="4AF745D3"/>
    <w:rsid w:val="4B78366B"/>
    <w:rsid w:val="4D4B3317"/>
    <w:rsid w:val="4D6245D3"/>
    <w:rsid w:val="4F986114"/>
    <w:rsid w:val="50467599"/>
    <w:rsid w:val="5168227C"/>
    <w:rsid w:val="535B7AFB"/>
    <w:rsid w:val="53682080"/>
    <w:rsid w:val="55284354"/>
    <w:rsid w:val="560426CB"/>
    <w:rsid w:val="57925AB5"/>
    <w:rsid w:val="57E75E01"/>
    <w:rsid w:val="591E3AA4"/>
    <w:rsid w:val="593D2BEE"/>
    <w:rsid w:val="59B711F5"/>
    <w:rsid w:val="59D003CB"/>
    <w:rsid w:val="5A0158C4"/>
    <w:rsid w:val="5A7B28E0"/>
    <w:rsid w:val="5BE0215C"/>
    <w:rsid w:val="5BF921DE"/>
    <w:rsid w:val="5D826804"/>
    <w:rsid w:val="5DBA03E0"/>
    <w:rsid w:val="5DE70625"/>
    <w:rsid w:val="5E36363E"/>
    <w:rsid w:val="5E895323"/>
    <w:rsid w:val="5FA97E40"/>
    <w:rsid w:val="5FC133DB"/>
    <w:rsid w:val="5FC807B5"/>
    <w:rsid w:val="60367925"/>
    <w:rsid w:val="60716BAF"/>
    <w:rsid w:val="60852AE7"/>
    <w:rsid w:val="6113620C"/>
    <w:rsid w:val="61691F7C"/>
    <w:rsid w:val="61BC20AC"/>
    <w:rsid w:val="63074233"/>
    <w:rsid w:val="632223E3"/>
    <w:rsid w:val="64502F80"/>
    <w:rsid w:val="645512FD"/>
    <w:rsid w:val="64CC2606"/>
    <w:rsid w:val="65ED6B26"/>
    <w:rsid w:val="670964B1"/>
    <w:rsid w:val="67974C00"/>
    <w:rsid w:val="67CA4C90"/>
    <w:rsid w:val="68432C8D"/>
    <w:rsid w:val="686A0AB4"/>
    <w:rsid w:val="68DC018E"/>
    <w:rsid w:val="6C615A90"/>
    <w:rsid w:val="6F3F1807"/>
    <w:rsid w:val="706F6EF2"/>
    <w:rsid w:val="71F77BC4"/>
    <w:rsid w:val="71FD135E"/>
    <w:rsid w:val="721348C7"/>
    <w:rsid w:val="72784469"/>
    <w:rsid w:val="73F531FC"/>
    <w:rsid w:val="744031F5"/>
    <w:rsid w:val="75052D18"/>
    <w:rsid w:val="76B64EC4"/>
    <w:rsid w:val="78426B6E"/>
    <w:rsid w:val="7AB447FA"/>
    <w:rsid w:val="7AF66CC4"/>
    <w:rsid w:val="7C4F7FD3"/>
    <w:rsid w:val="7C86219F"/>
    <w:rsid w:val="7D900182"/>
    <w:rsid w:val="7DB67E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Theme="minorEastAsia"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1"/>
    <w:autoRedefine/>
    <w:semiHidden/>
    <w:qFormat/>
    <w:uiPriority w:val="0"/>
    <w:rPr>
      <w:rFonts w:ascii="仿宋" w:hAnsi="仿宋" w:eastAsia="仿宋" w:cs="仿宋"/>
      <w:sz w:val="31"/>
      <w:szCs w:val="31"/>
    </w:rPr>
  </w:style>
  <w:style w:type="paragraph" w:styleId="3">
    <w:name w:val="Body Text Indent"/>
    <w:basedOn w:val="1"/>
    <w:link w:val="18"/>
    <w:qFormat/>
    <w:uiPriority w:val="0"/>
    <w:pPr>
      <w:spacing w:after="120"/>
      <w:ind w:left="420" w:leftChars="200"/>
    </w:pPr>
  </w:style>
  <w:style w:type="paragraph" w:styleId="4">
    <w:name w:val="Plain Text"/>
    <w:basedOn w:val="1"/>
    <w:autoRedefine/>
    <w:qFormat/>
    <w:uiPriority w:val="0"/>
    <w:pPr>
      <w:widowControl w:val="0"/>
      <w:jc w:val="both"/>
    </w:pPr>
    <w:rPr>
      <w:rFonts w:ascii="宋体" w:hAnsi="Courier New" w:eastAsia="仿宋_GB2312" w:cs="Times New Roman"/>
      <w:kern w:val="2"/>
      <w:sz w:val="32"/>
      <w:lang w:eastAsia="zh-CN"/>
    </w:rPr>
  </w:style>
  <w:style w:type="paragraph" w:styleId="5">
    <w:name w:val="footer"/>
    <w:basedOn w:val="1"/>
    <w:link w:val="16"/>
    <w:qFormat/>
    <w:uiPriority w:val="0"/>
    <w:pPr>
      <w:tabs>
        <w:tab w:val="center" w:pos="4153"/>
        <w:tab w:val="right" w:pos="8306"/>
      </w:tabs>
    </w:pPr>
    <w:rPr>
      <w:sz w:val="18"/>
      <w:szCs w:val="18"/>
    </w:rPr>
  </w:style>
  <w:style w:type="paragraph" w:styleId="6">
    <w:name w:val="header"/>
    <w:basedOn w:val="1"/>
    <w:link w:val="15"/>
    <w:qFormat/>
    <w:uiPriority w:val="0"/>
    <w:pPr>
      <w:pBdr>
        <w:bottom w:val="single" w:color="auto" w:sz="6" w:space="1"/>
      </w:pBdr>
      <w:tabs>
        <w:tab w:val="center" w:pos="4153"/>
        <w:tab w:val="right" w:pos="8306"/>
      </w:tabs>
      <w:jc w:val="center"/>
    </w:pPr>
    <w:rPr>
      <w:sz w:val="18"/>
      <w:szCs w:val="18"/>
    </w:rPr>
  </w:style>
  <w:style w:type="paragraph" w:styleId="7">
    <w:name w:val="Body Text First Indent 2"/>
    <w:basedOn w:val="3"/>
    <w:link w:val="19"/>
    <w:qFormat/>
    <w:uiPriority w:val="0"/>
    <w:pPr>
      <w:ind w:firstLine="420" w:firstLineChars="200"/>
    </w:pPr>
  </w:style>
  <w:style w:type="table" w:styleId="9">
    <w:name w:val="Table Grid"/>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
  </w:style>
  <w:style w:type="character" w:styleId="11">
    <w:name w:val="Hyperlink"/>
    <w:autoRedefine/>
    <w:qFormat/>
    <w:uiPriority w:val="0"/>
    <w:rPr>
      <w:color w:val="0000FF"/>
      <w:u w:val="single"/>
    </w:rPr>
  </w:style>
  <w:style w:type="table" w:customStyle="1" w:styleId="12">
    <w:name w:val="Table Normal"/>
    <w:autoRedefine/>
    <w:semiHidden/>
    <w:unhideWhenUsed/>
    <w:qFormat/>
    <w:uiPriority w:val="0"/>
    <w:tblPr>
      <w:tblCellMar>
        <w:top w:w="0" w:type="dxa"/>
        <w:left w:w="0" w:type="dxa"/>
        <w:bottom w:w="0" w:type="dxa"/>
        <w:right w:w="0" w:type="dxa"/>
      </w:tblCellMar>
    </w:tblPr>
  </w:style>
  <w:style w:type="paragraph" w:customStyle="1" w:styleId="13">
    <w:name w:val="Table Text"/>
    <w:basedOn w:val="1"/>
    <w:autoRedefine/>
    <w:semiHidden/>
    <w:qFormat/>
    <w:uiPriority w:val="0"/>
  </w:style>
  <w:style w:type="table" w:customStyle="1" w:styleId="14">
    <w:name w:val="Table Normal1"/>
    <w:basedOn w:val="8"/>
    <w:qFormat/>
    <w:uiPriority w:val="0"/>
    <w:rPr>
      <w:rFonts w:ascii="Times New Roman" w:hAnsi="Times New Roman" w:eastAsia="Times New Roman" w:cs="Times New Roman"/>
    </w:rPr>
    <w:tblPr>
      <w:tblCellMar>
        <w:left w:w="0" w:type="dxa"/>
        <w:right w:w="0" w:type="dxa"/>
      </w:tblCellMar>
    </w:tblPr>
  </w:style>
  <w:style w:type="character" w:customStyle="1" w:styleId="15">
    <w:name w:val="页眉 字符"/>
    <w:basedOn w:val="10"/>
    <w:link w:val="6"/>
    <w:qFormat/>
    <w:uiPriority w:val="0"/>
    <w:rPr>
      <w:rFonts w:eastAsia="Arial"/>
      <w:snapToGrid w:val="0"/>
      <w:color w:val="000000"/>
      <w:sz w:val="18"/>
      <w:szCs w:val="18"/>
      <w:lang w:eastAsia="en-US"/>
    </w:rPr>
  </w:style>
  <w:style w:type="character" w:customStyle="1" w:styleId="16">
    <w:name w:val="页脚 字符"/>
    <w:basedOn w:val="10"/>
    <w:link w:val="5"/>
    <w:qFormat/>
    <w:uiPriority w:val="0"/>
    <w:rPr>
      <w:rFonts w:eastAsia="Arial"/>
      <w:snapToGrid w:val="0"/>
      <w:color w:val="000000"/>
      <w:sz w:val="18"/>
      <w:szCs w:val="18"/>
      <w:lang w:eastAsia="en-US"/>
    </w:rPr>
  </w:style>
  <w:style w:type="character" w:styleId="17">
    <w:name w:val="Placeholder Text"/>
    <w:basedOn w:val="10"/>
    <w:semiHidden/>
    <w:qFormat/>
    <w:uiPriority w:val="99"/>
    <w:rPr>
      <w:color w:val="808080"/>
    </w:rPr>
  </w:style>
  <w:style w:type="character" w:customStyle="1" w:styleId="18">
    <w:name w:val="正文文本缩进 字符"/>
    <w:basedOn w:val="10"/>
    <w:link w:val="3"/>
    <w:qFormat/>
    <w:uiPriority w:val="0"/>
    <w:rPr>
      <w:rFonts w:eastAsia="Arial"/>
      <w:snapToGrid w:val="0"/>
      <w:color w:val="000000"/>
      <w:sz w:val="21"/>
      <w:szCs w:val="21"/>
      <w:lang w:eastAsia="en-US"/>
    </w:rPr>
  </w:style>
  <w:style w:type="character" w:customStyle="1" w:styleId="19">
    <w:name w:val="正文文本首行缩进 2 字符"/>
    <w:basedOn w:val="18"/>
    <w:link w:val="7"/>
    <w:qFormat/>
    <w:uiPriority w:val="0"/>
    <w:rPr>
      <w:rFonts w:eastAsia="Arial"/>
      <w:snapToGrid w:val="0"/>
      <w:color w:val="000000"/>
      <w:sz w:val="21"/>
      <w:szCs w:val="21"/>
      <w:lang w:eastAsia="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2.wmf"/><Relationship Id="rId6" Type="http://schemas.openxmlformats.org/officeDocument/2006/relationships/oleObject" Target="embeddings/oleObject2.bin"/><Relationship Id="rId5" Type="http://schemas.openxmlformats.org/officeDocument/2006/relationships/image" Target="media/image1.wmf"/><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12</Pages>
  <Words>4244</Words>
  <Characters>4452</Characters>
  <Lines>34</Lines>
  <Paragraphs>9</Paragraphs>
  <TotalTime>43</TotalTime>
  <ScaleCrop>false</ScaleCrop>
  <LinksUpToDate>false</LinksUpToDate>
  <CharactersWithSpaces>4455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2023-04-08T07:16:00Z</dcterms:created>
  <dc:creator>苗萌</dc:creator>
  <cp:lastModifiedBy>Administrator</cp:lastModifiedBy>
  <dcterms:modified xsi:type="dcterms:W3CDTF">2025-03-10T06:48:48Z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2024-03-03T19:48:10Z</vt:filetime>
  </property>
  <property fmtid="{D5CDD505-2E9C-101B-9397-08002B2CF9AE}" pid="4" name="KSOProductBuildVer">
    <vt:lpwstr>2052-12.1.0.20305</vt:lpwstr>
  </property>
  <property fmtid="{D5CDD505-2E9C-101B-9397-08002B2CF9AE}" pid="5" name="ICV">
    <vt:lpwstr>F3581B61DE344A21BAEAA10D0C322765_12</vt:lpwstr>
  </property>
  <property fmtid="{D5CDD505-2E9C-101B-9397-08002B2CF9AE}" pid="6" name="KSOTemplateDocerSaveRecord">
    <vt:lpwstr>eyJoZGlkIjoiYTU3NmQ4ODgwZmVjMDBkMTE4NmQ2ZTRlMjFjOTRkMzcifQ==</vt:lpwstr>
  </property>
</Properties>
</file>