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numPr>
          <w:ilvl w:val="0"/>
          <w:numId w:val="0"/>
        </w:numPr>
        <w:kinsoku/>
        <w:wordWrap/>
        <w:topLinePunct w:val="0"/>
        <w:autoSpaceDE/>
        <w:autoSpaceDN/>
        <w:bidi w:val="0"/>
        <w:spacing w:line="360" w:lineRule="auto"/>
        <w:ind w:leftChars="0"/>
        <w:jc w:val="center"/>
        <w:textAlignment w:val="auto"/>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艺术特长生考试打分系统技术性能及功能要求</w:t>
      </w: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bCs/>
          <w:lang w:val="en-US" w:eastAsia="zh-CN"/>
        </w:rPr>
      </w:pP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一、总体要求</w:t>
      </w: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（一）系统具有先进性和成熟性</w:t>
      </w:r>
    </w:p>
    <w:p>
      <w:pPr>
        <w:keepNext w:val="0"/>
        <w:keepLines w:val="0"/>
        <w:pageBreakBefore w:val="0"/>
        <w:numPr>
          <w:ilvl w:val="0"/>
          <w:numId w:val="0"/>
        </w:numPr>
        <w:kinsoku/>
        <w:wordWrap/>
        <w:topLinePunct w:val="0"/>
        <w:autoSpaceDE/>
        <w:autoSpaceDN/>
        <w:bidi w:val="0"/>
        <w:spacing w:line="360" w:lineRule="auto"/>
        <w:ind w:leftChars="0" w:firstLine="42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系统建设尽可能采用成熟先进的技术、方法、软件和网络平台，确保系统的先进性、成熟性，使系统稳定可靠。</w:t>
      </w: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（二）系统具有可维护性和扩展性</w:t>
      </w:r>
    </w:p>
    <w:p>
      <w:pPr>
        <w:keepNext w:val="0"/>
        <w:keepLines w:val="0"/>
        <w:pageBreakBefore w:val="0"/>
        <w:numPr>
          <w:ilvl w:val="0"/>
          <w:numId w:val="0"/>
        </w:numPr>
        <w:kinsoku/>
        <w:wordWrap/>
        <w:topLinePunct w:val="0"/>
        <w:autoSpaceDE/>
        <w:autoSpaceDN/>
        <w:bidi w:val="0"/>
        <w:spacing w:line="360" w:lineRule="auto"/>
        <w:ind w:leftChars="0" w:firstLine="42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系统应具有较强的可维护性和扩展性。采用标准化设计，严格遵循相关技术的国际、国内标准，能方便地进行系统流程和功能的调整，以适应系统需求的变化；系统能够方便地进行管理与维护，软硬件的升级不影响正常运作，系统功能、结构以及数据库可方便地扩展。</w:t>
      </w: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（三）系统具有实用性和易用性</w:t>
      </w:r>
    </w:p>
    <w:p>
      <w:pPr>
        <w:keepNext w:val="0"/>
        <w:keepLines w:val="0"/>
        <w:pageBreakBefore w:val="0"/>
        <w:numPr>
          <w:ilvl w:val="0"/>
          <w:numId w:val="0"/>
        </w:numPr>
        <w:kinsoku/>
        <w:wordWrap/>
        <w:topLinePunct w:val="0"/>
        <w:autoSpaceDE/>
        <w:autoSpaceDN/>
        <w:bidi w:val="0"/>
        <w:spacing w:line="360" w:lineRule="auto"/>
        <w:ind w:leftChars="0" w:firstLine="42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系统的开发要“以人为本”，贴近工作人员的需求与习惯，做到功能强大、界面友好美观、操作简单、使用方便。充分实现信息资源的共享，降低软件安装配置、联调与维护工作实施难度，快速实现互联互通，减少工作人员的工作量。</w:t>
      </w: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（四）系统具有标准化和开放性。</w:t>
      </w:r>
    </w:p>
    <w:p>
      <w:pPr>
        <w:keepNext w:val="0"/>
        <w:keepLines w:val="0"/>
        <w:pageBreakBefore w:val="0"/>
        <w:numPr>
          <w:ilvl w:val="0"/>
          <w:numId w:val="0"/>
        </w:numPr>
        <w:kinsoku/>
        <w:wordWrap/>
        <w:topLinePunct w:val="0"/>
        <w:autoSpaceDE/>
        <w:autoSpaceDN/>
        <w:bidi w:val="0"/>
        <w:spacing w:line="360" w:lineRule="auto"/>
        <w:ind w:leftChars="0" w:firstLine="42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系统建设采用的软件平台、数据标准、开发技术应符合公认的工业标准，符合国家、地方和行业的有关标准与规范，系统的分析、设计、实现和测试要严格按照统一的标准规范以及通用的软件工程标准和规范，以确保系统符合国际上各种开放标准，采用基于正确公开标准的部件和技术，以确保最大限度的协作能力以及与第三方系统与部件集成的简便性。采用标准的数据描述语言以及标准的通信协议，适应以后的数据交换标准以及系统间互连的标准协议。同时提供标准化的二次开发接口，使得系统具有较强的开放性和扩展性，易于兼容已经存在的或者未来建设的各种业务应用系统。当业务内容与流程变更时，能方便地进行系统流程和功能的调整，以适应系统需求的变化。</w:t>
      </w: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（五）系统具有安全性和保密性</w:t>
      </w:r>
    </w:p>
    <w:p>
      <w:pPr>
        <w:keepNext w:val="0"/>
        <w:keepLines w:val="0"/>
        <w:pageBreakBefore w:val="0"/>
        <w:numPr>
          <w:ilvl w:val="0"/>
          <w:numId w:val="0"/>
        </w:numPr>
        <w:kinsoku/>
        <w:wordWrap/>
        <w:topLinePunct w:val="0"/>
        <w:autoSpaceDE/>
        <w:autoSpaceDN/>
        <w:bidi w:val="0"/>
        <w:spacing w:line="360" w:lineRule="auto"/>
        <w:ind w:leftChars="0" w:firstLine="42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保证网络环境下数据的安全，防止入侵、非法访问、恶意更改毁坏，采取完备的数据保护和备份机制。为防止非授权用户的非法入侵和授权用户的越权使用，系统应进行各种级别的权限控制，并具备审计功能，自动记录访问用户信息及其访问操作过程，以备日后查询。</w:t>
      </w: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（六）系统具有高性能和稳定性</w:t>
      </w:r>
    </w:p>
    <w:p>
      <w:pPr>
        <w:keepNext w:val="0"/>
        <w:keepLines w:val="0"/>
        <w:pageBreakBefore w:val="0"/>
        <w:numPr>
          <w:ilvl w:val="0"/>
          <w:numId w:val="0"/>
        </w:numPr>
        <w:kinsoku/>
        <w:wordWrap/>
        <w:topLinePunct w:val="0"/>
        <w:autoSpaceDE/>
        <w:autoSpaceDN/>
        <w:bidi w:val="0"/>
        <w:spacing w:line="360" w:lineRule="auto"/>
        <w:ind w:leftChars="0" w:firstLine="42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在系统设计、开发和应用时，应从系统结构、技术措施、软件平台、技术服务和维护响应能力等方面综合考虑，多用户并发操作具有较高稳定性和响应速度。</w:t>
      </w:r>
    </w:p>
    <w:p>
      <w:pPr>
        <w:pStyle w:val="10"/>
        <w:keepNext w:val="0"/>
        <w:keepLines w:val="0"/>
        <w:pageBreakBefore w:val="0"/>
        <w:kinsoku/>
        <w:wordWrap/>
        <w:topLinePunct w:val="0"/>
        <w:autoSpaceDE/>
        <w:autoSpaceDN/>
        <w:bidi w:val="0"/>
        <w:spacing w:line="360" w:lineRule="auto"/>
        <w:ind w:left="0" w:leftChars="0" w:firstLine="0" w:firstLineChars="0"/>
        <w:textAlignment w:val="auto"/>
        <w:outlineLvl w:val="3"/>
        <w:rPr>
          <w:rFonts w:hint="eastAsia" w:ascii="宋体" w:hAnsi="宋体"/>
          <w:b/>
          <w:sz w:val="28"/>
          <w:szCs w:val="28"/>
        </w:rPr>
      </w:pPr>
      <w:r>
        <w:rPr>
          <w:rFonts w:hint="eastAsia" w:ascii="宋体" w:hAnsi="宋体"/>
          <w:b/>
          <w:sz w:val="28"/>
          <w:szCs w:val="28"/>
        </w:rPr>
        <w:t>二、功能需求</w:t>
      </w:r>
    </w:p>
    <w:tbl>
      <w:tblPr>
        <w:tblStyle w:val="4"/>
        <w:tblW w:w="93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8"/>
        <w:gridCol w:w="1134"/>
        <w:gridCol w:w="1515"/>
        <w:gridCol w:w="61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568" w:type="dxa"/>
            <w:noWrap w:val="0"/>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序号</w:t>
            </w:r>
          </w:p>
        </w:tc>
        <w:tc>
          <w:tcPr>
            <w:tcW w:w="1134" w:type="dxa"/>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模块名称</w:t>
            </w:r>
          </w:p>
        </w:tc>
        <w:tc>
          <w:tcPr>
            <w:tcW w:w="1515" w:type="dxa"/>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功能名称</w:t>
            </w:r>
          </w:p>
        </w:tc>
        <w:tc>
          <w:tcPr>
            <w:tcW w:w="6111" w:type="dxa"/>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96" w:hRule="atLeast"/>
          <w:jc w:val="center"/>
        </w:trPr>
        <w:tc>
          <w:tcPr>
            <w:tcW w:w="568" w:type="dxa"/>
            <w:vMerge w:val="restart"/>
            <w:noWrap w:val="0"/>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134" w:type="dxa"/>
            <w:vMerge w:val="restart"/>
            <w:noWrap w:val="0"/>
            <w:tcMar>
              <w:top w:w="15" w:type="dxa"/>
              <w:left w:w="15" w:type="dxa"/>
              <w:right w:w="15" w:type="dxa"/>
            </w:tcMar>
            <w:vAlign w:val="center"/>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系统平台</w:t>
            </w:r>
          </w:p>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lang w:eastAsia="zh-CN"/>
              </w:rPr>
            </w:pPr>
          </w:p>
        </w:tc>
        <w:tc>
          <w:tcPr>
            <w:tcW w:w="1515"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基础信息设置</w:t>
            </w:r>
          </w:p>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b w:val="0"/>
                <w:bCs/>
                <w:sz w:val="24"/>
                <w:szCs w:val="24"/>
                <w:lang w:eastAsia="zh-CN"/>
              </w:rPr>
            </w:pPr>
          </w:p>
        </w:tc>
        <w:tc>
          <w:tcPr>
            <w:tcW w:w="6111" w:type="dxa"/>
            <w:noWrap w:val="0"/>
            <w:tcMar>
              <w:top w:w="15" w:type="dxa"/>
              <w:left w:w="15" w:type="dxa"/>
              <w:right w:w="15" w:type="dxa"/>
            </w:tcMar>
            <w:vAlign w:val="center"/>
          </w:tcPr>
          <w:p>
            <w:pPr>
              <w:keepNext w:val="0"/>
              <w:keepLines w:val="0"/>
              <w:pageBreakBefore w:val="0"/>
              <w:numPr>
                <w:ilvl w:val="2"/>
                <w:numId w:val="1"/>
              </w:numPr>
              <w:kinsoku/>
              <w:wordWrap/>
              <w:topLinePunct w:val="0"/>
              <w:autoSpaceDE/>
              <w:autoSpaceDN/>
              <w:bidi w:val="0"/>
              <w:spacing w:line="360" w:lineRule="auto"/>
              <w:ind w:left="0" w:leftChars="0" w:firstLine="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艺术特长生种类设置：可设置声乐、乐器、舞蹈、播音、模特等类别，可新增、修改和删除；</w:t>
            </w:r>
          </w:p>
          <w:p>
            <w:pPr>
              <w:keepNext w:val="0"/>
              <w:keepLines w:val="0"/>
              <w:pageBreakBefore w:val="0"/>
              <w:numPr>
                <w:ilvl w:val="2"/>
                <w:numId w:val="1"/>
              </w:numPr>
              <w:kinsoku/>
              <w:wordWrap/>
              <w:topLinePunct w:val="0"/>
              <w:autoSpaceDE/>
              <w:autoSpaceDN/>
              <w:bidi w:val="0"/>
              <w:spacing w:line="360" w:lineRule="auto"/>
              <w:ind w:left="0" w:leftChars="0" w:firstLine="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种类打分项设置：可对每种类别的具体打分项目进行设置；</w:t>
            </w:r>
          </w:p>
          <w:p>
            <w:pPr>
              <w:keepNext w:val="0"/>
              <w:keepLines w:val="0"/>
              <w:pageBreakBefore w:val="0"/>
              <w:numPr>
                <w:ilvl w:val="2"/>
                <w:numId w:val="1"/>
              </w:numPr>
              <w:kinsoku/>
              <w:wordWrap/>
              <w:topLinePunct w:val="0"/>
              <w:autoSpaceDE/>
              <w:autoSpaceDN/>
              <w:bidi w:val="0"/>
              <w:spacing w:line="360" w:lineRule="auto"/>
              <w:ind w:left="0" w:leftChars="0" w:firstLine="0" w:firstLine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分值计算设置：可对各打分项分值进行设置；</w:t>
            </w:r>
          </w:p>
          <w:p>
            <w:pPr>
              <w:keepNext w:val="0"/>
              <w:keepLines w:val="0"/>
              <w:pageBreakBefore w:val="0"/>
              <w:numPr>
                <w:ilvl w:val="2"/>
                <w:numId w:val="1"/>
              </w:numPr>
              <w:kinsoku/>
              <w:wordWrap/>
              <w:topLinePunct w:val="0"/>
              <w:autoSpaceDE/>
              <w:autoSpaceDN/>
              <w:bidi w:val="0"/>
              <w:spacing w:line="360" w:lineRule="auto"/>
              <w:ind w:left="0" w:leftChars="0" w:firstLine="0" w:firstLineChars="0"/>
              <w:textAlignment w:val="auto"/>
              <w:rPr>
                <w:rFonts w:hint="eastAsia" w:ascii="宋体" w:hAnsi="宋体" w:eastAsia="宋体" w:cs="宋体"/>
                <w:b w:val="0"/>
                <w:bCs/>
                <w:sz w:val="24"/>
                <w:szCs w:val="24"/>
              </w:rPr>
            </w:pPr>
            <w:r>
              <w:rPr>
                <w:rFonts w:hint="eastAsia" w:ascii="宋体" w:hAnsi="宋体" w:eastAsia="宋体" w:cs="宋体"/>
                <w:b w:val="0"/>
                <w:bCs w:val="0"/>
                <w:sz w:val="24"/>
                <w:szCs w:val="24"/>
                <w:lang w:val="en-US" w:eastAsia="zh-CN"/>
              </w:rPr>
              <w:t>现场打分时段设置：可对现场有效打分时段限定。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568" w:type="dxa"/>
            <w:vMerge w:val="continue"/>
            <w:tcBorders/>
            <w:noWrap w:val="0"/>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134" w:type="dxa"/>
            <w:vMerge w:val="continue"/>
            <w:tcBorders/>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lang w:eastAsia="zh-CN"/>
              </w:rPr>
            </w:pPr>
          </w:p>
        </w:tc>
        <w:tc>
          <w:tcPr>
            <w:tcW w:w="1515"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系统设置</w:t>
            </w:r>
          </w:p>
          <w:p>
            <w:pPr>
              <w:pStyle w:val="8"/>
              <w:keepNext w:val="0"/>
              <w:keepLines w:val="0"/>
              <w:pageBreakBefore w:val="0"/>
              <w:widowControl/>
              <w:kinsoku/>
              <w:wordWrap/>
              <w:topLinePunct w:val="0"/>
              <w:autoSpaceDE/>
              <w:autoSpaceDN/>
              <w:bidi w:val="0"/>
              <w:snapToGrid w:val="0"/>
              <w:spacing w:line="360" w:lineRule="auto"/>
              <w:jc w:val="both"/>
              <w:textAlignment w:val="auto"/>
              <w:rPr>
                <w:rFonts w:hint="eastAsia" w:ascii="宋体" w:hAnsi="宋体" w:eastAsia="宋体" w:cs="宋体"/>
                <w:sz w:val="24"/>
                <w:szCs w:val="24"/>
                <w:lang w:eastAsia="zh-CN"/>
              </w:rPr>
            </w:pPr>
          </w:p>
        </w:tc>
        <w:tc>
          <w:tcPr>
            <w:tcW w:w="6111"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（1）用户管理：平台操作人员的信息管理；</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（2）部门管理：对相关执行部门信息的管理；</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（3）角色管理：对操作人员权限的管理；</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（4）日志查看：查看各操作人员进入系统的具体操作情况；</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sz w:val="24"/>
                <w:szCs w:val="24"/>
              </w:rPr>
            </w:pPr>
            <w:r>
              <w:rPr>
                <w:rFonts w:hint="eastAsia" w:ascii="宋体" w:hAnsi="宋体" w:eastAsia="宋体" w:cs="宋体"/>
                <w:b w:val="0"/>
                <w:bCs w:val="0"/>
                <w:sz w:val="24"/>
                <w:szCs w:val="24"/>
                <w:lang w:val="en-US" w:eastAsia="zh-CN"/>
              </w:rPr>
              <w:t>（5）系统参数：系统运行相关参数设定管理。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568" w:type="dxa"/>
            <w:vMerge w:val="continue"/>
            <w:tcBorders/>
            <w:noWrap w:val="0"/>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134" w:type="dxa"/>
            <w:vMerge w:val="continue"/>
            <w:tcBorders/>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515" w:type="dxa"/>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textAlignment w:val="auto"/>
              <w:rPr>
                <w:rFonts w:hint="eastAsia" w:ascii="宋体" w:hAnsi="宋体" w:eastAsia="宋体" w:cs="宋体"/>
                <w:bCs/>
                <w:sz w:val="24"/>
                <w:szCs w:val="24"/>
              </w:rPr>
            </w:pPr>
            <w:r>
              <w:rPr>
                <w:rFonts w:hint="eastAsia" w:ascii="宋体" w:hAnsi="宋体" w:eastAsia="宋体" w:cs="宋体"/>
                <w:b w:val="0"/>
                <w:bCs w:val="0"/>
                <w:sz w:val="24"/>
                <w:szCs w:val="24"/>
                <w:lang w:val="en-US" w:eastAsia="zh-CN"/>
              </w:rPr>
              <w:t>评分设备管理</w:t>
            </w:r>
          </w:p>
        </w:tc>
        <w:tc>
          <w:tcPr>
            <w:tcW w:w="6111"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（1）评分设备授权：对打分设备进行授权管理；</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kern w:val="0"/>
                <w:sz w:val="24"/>
                <w:szCs w:val="24"/>
              </w:rPr>
            </w:pPr>
            <w:r>
              <w:rPr>
                <w:rFonts w:hint="eastAsia" w:ascii="宋体" w:hAnsi="宋体" w:eastAsia="宋体" w:cs="宋体"/>
                <w:b w:val="0"/>
                <w:bCs w:val="0"/>
                <w:sz w:val="24"/>
                <w:szCs w:val="24"/>
                <w:lang w:val="en-US" w:eastAsia="zh-CN"/>
              </w:rPr>
              <w:t>（2）已授权设备查询：查询已授权设备信息。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5" w:hRule="atLeast"/>
          <w:jc w:val="center"/>
        </w:trPr>
        <w:tc>
          <w:tcPr>
            <w:tcW w:w="568" w:type="dxa"/>
            <w:vMerge w:val="continue"/>
            <w:tcBorders/>
            <w:noWrap w:val="0"/>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134" w:type="dxa"/>
            <w:vMerge w:val="continue"/>
            <w:tcBorders/>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515"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评委管理</w:t>
            </w:r>
          </w:p>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bCs/>
                <w:sz w:val="24"/>
                <w:szCs w:val="24"/>
              </w:rPr>
            </w:pPr>
          </w:p>
        </w:tc>
        <w:tc>
          <w:tcPr>
            <w:tcW w:w="6111" w:type="dxa"/>
            <w:noWrap w:val="0"/>
            <w:tcMar>
              <w:top w:w="15" w:type="dxa"/>
              <w:left w:w="15" w:type="dxa"/>
              <w:right w:w="15" w:type="dxa"/>
            </w:tcMar>
            <w:vAlign w:val="center"/>
          </w:tcPr>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（1）增加评委：增加评委相关信息（姓名、专业、评分平板的登录帐号、密码等信息）；</w:t>
            </w: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kern w:val="0"/>
                <w:sz w:val="24"/>
                <w:szCs w:val="24"/>
              </w:rPr>
            </w:pPr>
            <w:r>
              <w:rPr>
                <w:rFonts w:hint="eastAsia" w:ascii="宋体" w:hAnsi="宋体" w:eastAsia="宋体" w:cs="宋体"/>
                <w:b w:val="0"/>
                <w:bCs w:val="0"/>
                <w:sz w:val="24"/>
                <w:szCs w:val="24"/>
                <w:lang w:val="en-US" w:eastAsia="zh-CN"/>
              </w:rPr>
              <w:t>（2）评委管理：修改评委信息以及分配权限和评分设备。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568" w:type="dxa"/>
            <w:vMerge w:val="continue"/>
            <w:tcBorders/>
            <w:noWrap w:val="0"/>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134" w:type="dxa"/>
            <w:vMerge w:val="continue"/>
            <w:tcBorders/>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515" w:type="dxa"/>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bCs/>
                <w:sz w:val="24"/>
                <w:szCs w:val="24"/>
              </w:rPr>
              <w:t>考生信息</w:t>
            </w:r>
            <w:r>
              <w:rPr>
                <w:rFonts w:hint="eastAsia" w:ascii="宋体" w:hAnsi="宋体" w:eastAsia="宋体" w:cs="宋体"/>
                <w:bCs/>
                <w:sz w:val="24"/>
                <w:szCs w:val="24"/>
                <w:lang w:eastAsia="zh-CN"/>
              </w:rPr>
              <w:t>管理</w:t>
            </w:r>
          </w:p>
        </w:tc>
        <w:tc>
          <w:tcPr>
            <w:tcW w:w="6111"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（1）批量导入考生基本信息：批量导入考生基本信息；</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（2）艺术特长生信息管理：增加、修改、删除考生信息；</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（3）生成检录二维码打印单：生成各考生考试现场检录二维码；</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sz w:val="24"/>
                <w:szCs w:val="24"/>
              </w:rPr>
            </w:pPr>
            <w:r>
              <w:rPr>
                <w:rFonts w:hint="eastAsia" w:ascii="宋体" w:hAnsi="宋体" w:eastAsia="宋体" w:cs="宋体"/>
                <w:b w:val="0"/>
                <w:bCs w:val="0"/>
                <w:sz w:val="24"/>
                <w:szCs w:val="24"/>
                <w:lang w:val="en-US" w:eastAsia="zh-CN"/>
              </w:rPr>
              <w:t>（4）艺术特长生报名数量统计：各类考生报名人数统计。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568" w:type="dxa"/>
            <w:vMerge w:val="continue"/>
            <w:tcBorders/>
            <w:noWrap w:val="0"/>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134" w:type="dxa"/>
            <w:vMerge w:val="continue"/>
            <w:tcBorders/>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p>
        </w:tc>
        <w:tc>
          <w:tcPr>
            <w:tcW w:w="1515"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成绩管理</w:t>
            </w:r>
          </w:p>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lang w:eastAsia="zh-CN"/>
              </w:rPr>
            </w:pPr>
          </w:p>
        </w:tc>
        <w:tc>
          <w:tcPr>
            <w:tcW w:w="6111"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（1）总分排名：生成各类考生总分排名表；</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（2）成绩总表：生成考生成绩总表；</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（3）最低分数线设置：设置后可实时得出合格比例；</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（4）合格比例设置：设置后可实时得出最低分数线；</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（5）生成合格名单：生成合格考生名单；</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sz w:val="24"/>
                <w:szCs w:val="24"/>
              </w:rPr>
            </w:pPr>
            <w:r>
              <w:rPr>
                <w:rFonts w:hint="eastAsia" w:ascii="宋体" w:hAnsi="宋体" w:eastAsia="宋体" w:cs="宋体"/>
                <w:b w:val="0"/>
                <w:bCs w:val="0"/>
                <w:sz w:val="24"/>
                <w:szCs w:val="24"/>
                <w:lang w:val="en-US" w:eastAsia="zh-CN"/>
              </w:rPr>
              <w:t>（6）录像调取：可以调取回放考生现场考试的录像。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0" w:hRule="atLeast"/>
          <w:jc w:val="center"/>
        </w:trPr>
        <w:tc>
          <w:tcPr>
            <w:tcW w:w="568" w:type="dxa"/>
            <w:noWrap w:val="0"/>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134" w:type="dxa"/>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sz w:val="24"/>
                <w:szCs w:val="24"/>
              </w:rPr>
            </w:pPr>
            <w:r>
              <w:rPr>
                <w:rFonts w:hint="eastAsia" w:ascii="宋体" w:hAnsi="宋体" w:eastAsia="宋体" w:cs="宋体"/>
                <w:b/>
                <w:bCs/>
                <w:sz w:val="24"/>
                <w:szCs w:val="24"/>
                <w:lang w:val="en-US" w:eastAsia="zh-CN"/>
              </w:rPr>
              <w:t>考场评委打分系统</w:t>
            </w:r>
          </w:p>
        </w:tc>
        <w:tc>
          <w:tcPr>
            <w:tcW w:w="1515" w:type="dxa"/>
            <w:noWrap w:val="0"/>
            <w:tcMar>
              <w:top w:w="15" w:type="dxa"/>
              <w:left w:w="15" w:type="dxa"/>
              <w:right w:w="15" w:type="dxa"/>
            </w:tcMar>
            <w:vAlign w:val="center"/>
          </w:tcPr>
          <w:p>
            <w:pPr>
              <w:pStyle w:val="8"/>
              <w:keepNext w:val="0"/>
              <w:keepLines w:val="0"/>
              <w:pageBreakBefore w:val="0"/>
              <w:widowControl/>
              <w:kinsoku/>
              <w:wordWrap/>
              <w:topLinePunct w:val="0"/>
              <w:autoSpaceDE/>
              <w:autoSpaceDN/>
              <w:bidi w:val="0"/>
              <w:snapToGrid w:val="0"/>
              <w:spacing w:line="360" w:lineRule="auto"/>
              <w:jc w:val="center"/>
              <w:textAlignment w:val="auto"/>
              <w:rPr>
                <w:rFonts w:hint="eastAsia" w:ascii="宋体" w:hAnsi="宋体" w:eastAsia="宋体" w:cs="宋体"/>
                <w:bCs/>
                <w:sz w:val="24"/>
                <w:szCs w:val="24"/>
              </w:rPr>
            </w:pPr>
          </w:p>
        </w:tc>
        <w:tc>
          <w:tcPr>
            <w:tcW w:w="6111" w:type="dxa"/>
            <w:noWrap w:val="0"/>
            <w:tcMar>
              <w:top w:w="15" w:type="dxa"/>
              <w:left w:w="15" w:type="dxa"/>
              <w:right w:w="15" w:type="dxa"/>
            </w:tcMar>
            <w:vAlign w:val="center"/>
          </w:tcPr>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（1）Android APP可安装在主流安卓平板中运行；</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（2）评分软件运行需授权后进行，杜绝非法评分；</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（3）评委需在评分设备上使用帐号、密码在评分登录，实名评分；</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（4）在检录设备上刷考生二维码检录，同考室其它平板可同步调出此考生信息；</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（5）当场自动计算得分，并可同步显示其它评委的评分（仅评分）；</w:t>
            </w:r>
          </w:p>
          <w:p>
            <w:pPr>
              <w:keepNext w:val="0"/>
              <w:keepLines w:val="0"/>
              <w:pageBreakBefore w:val="0"/>
              <w:numPr>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（6）有中文语音报读功能；</w:t>
            </w:r>
          </w:p>
          <w:p>
            <w:pPr>
              <w:keepNext w:val="0"/>
              <w:keepLines w:val="0"/>
              <w:pageBreakBefore w:val="0"/>
              <w:numPr>
                <w:numId w:val="0"/>
              </w:numPr>
              <w:kinsoku/>
              <w:wordWrap/>
              <w:topLinePunct w:val="0"/>
              <w:autoSpaceDE/>
              <w:autoSpaceDN/>
              <w:bidi w:val="0"/>
              <w:spacing w:line="360" w:lineRule="auto"/>
              <w:textAlignment w:val="auto"/>
              <w:rPr>
                <w:rFonts w:hint="eastAsia" w:ascii="宋体" w:hAnsi="宋体" w:eastAsia="宋体" w:cs="宋体"/>
                <w:kern w:val="0"/>
                <w:sz w:val="24"/>
                <w:szCs w:val="24"/>
              </w:rPr>
            </w:pPr>
            <w:r>
              <w:rPr>
                <w:rFonts w:hint="eastAsia" w:ascii="宋体" w:hAnsi="宋体" w:eastAsia="宋体" w:cs="宋体"/>
                <w:b w:val="0"/>
                <w:bCs w:val="0"/>
                <w:sz w:val="24"/>
                <w:szCs w:val="24"/>
                <w:lang w:val="en-US" w:eastAsia="zh-CN"/>
              </w:rPr>
              <w:t>（7）有现场录像功能，可全程对考生进行录像并上传到服务器供随时查看。</w:t>
            </w:r>
          </w:p>
        </w:tc>
      </w:tr>
    </w:tbl>
    <w:p>
      <w:pPr>
        <w:keepNext w:val="0"/>
        <w:keepLines w:val="0"/>
        <w:pageBreakBefore w:val="0"/>
        <w:kinsoku/>
        <w:wordWrap/>
        <w:topLinePunct w:val="0"/>
        <w:autoSpaceDE/>
        <w:autoSpaceDN/>
        <w:bidi w:val="0"/>
        <w:spacing w:line="360" w:lineRule="auto"/>
        <w:textAlignment w:val="auto"/>
      </w:pPr>
    </w:p>
    <w:p>
      <w:pPr>
        <w:pStyle w:val="10"/>
        <w:keepNext w:val="0"/>
        <w:keepLines w:val="0"/>
        <w:pageBreakBefore w:val="0"/>
        <w:kinsoku/>
        <w:wordWrap/>
        <w:topLinePunct w:val="0"/>
        <w:autoSpaceDE/>
        <w:autoSpaceDN/>
        <w:bidi w:val="0"/>
        <w:spacing w:line="360" w:lineRule="auto"/>
        <w:ind w:left="0" w:leftChars="0" w:firstLine="420" w:firstLineChars="0"/>
        <w:textAlignment w:val="auto"/>
        <w:outlineLvl w:val="3"/>
        <w:rPr>
          <w:rFonts w:hint="eastAsia" w:ascii="宋体" w:hAnsi="宋体"/>
          <w:b/>
          <w:bCs w:val="0"/>
          <w:sz w:val="28"/>
          <w:szCs w:val="28"/>
        </w:rPr>
      </w:pPr>
      <w:r>
        <w:rPr>
          <w:rFonts w:hint="eastAsia" w:ascii="宋体" w:hAnsi="宋体"/>
          <w:b/>
          <w:bCs w:val="0"/>
          <w:sz w:val="28"/>
          <w:szCs w:val="28"/>
          <w:lang w:eastAsia="zh-CN"/>
        </w:rPr>
        <w:t>三</w:t>
      </w:r>
      <w:r>
        <w:rPr>
          <w:rFonts w:hint="eastAsia" w:ascii="宋体" w:hAnsi="宋体"/>
          <w:b/>
          <w:bCs w:val="0"/>
          <w:sz w:val="28"/>
          <w:szCs w:val="28"/>
        </w:rPr>
        <w:t>、运行环境与技术要求</w:t>
      </w:r>
    </w:p>
    <w:p>
      <w:pPr>
        <w:pStyle w:val="10"/>
        <w:keepNext w:val="0"/>
        <w:keepLines w:val="0"/>
        <w:pageBreakBefore w:val="0"/>
        <w:kinsoku/>
        <w:wordWrap/>
        <w:topLinePunct w:val="0"/>
        <w:autoSpaceDE/>
        <w:autoSpaceDN/>
        <w:bidi w:val="0"/>
        <w:spacing w:line="360" w:lineRule="auto"/>
        <w:ind w:left="0" w:leftChars="0" w:firstLine="420" w:firstLineChars="0"/>
        <w:textAlignment w:val="auto"/>
        <w:outlineLvl w:val="3"/>
        <w:rPr>
          <w:rFonts w:hint="eastAsia" w:ascii="宋体" w:hAnsi="宋体" w:eastAsia="宋体" w:cs="宋体"/>
          <w:b w:val="0"/>
          <w:bCs w:val="0"/>
          <w:sz w:val="24"/>
          <w:szCs w:val="24"/>
        </w:rPr>
      </w:pPr>
      <w:r>
        <w:rPr>
          <w:rFonts w:hint="eastAsia" w:ascii="宋体" w:hAnsi="宋体" w:eastAsia="宋体" w:cs="宋体"/>
          <w:b w:val="0"/>
          <w:bCs w:val="0"/>
          <w:sz w:val="24"/>
          <w:szCs w:val="24"/>
        </w:rPr>
        <w:t>（一）平台运行环境与开发工具</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89"/>
        <w:gridCol w:w="62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操作系统</w:t>
            </w:r>
          </w:p>
        </w:tc>
        <w:tc>
          <w:tcPr>
            <w:tcW w:w="6233"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CentOS 7.x 64 Bit Linux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数据库</w:t>
            </w:r>
          </w:p>
        </w:tc>
        <w:tc>
          <w:tcPr>
            <w:tcW w:w="6233"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MySql/SQLite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缓存系统</w:t>
            </w:r>
          </w:p>
        </w:tc>
        <w:tc>
          <w:tcPr>
            <w:tcW w:w="6233"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Redis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管理平台开发语言</w:t>
            </w:r>
          </w:p>
        </w:tc>
        <w:tc>
          <w:tcPr>
            <w:tcW w:w="6233"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Python,Node,VUE,H5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评分设备开发语言</w:t>
            </w:r>
          </w:p>
        </w:tc>
        <w:tc>
          <w:tcPr>
            <w:tcW w:w="6233"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Java,C++，VUE，H5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支持用户数量</w:t>
            </w:r>
          </w:p>
        </w:tc>
        <w:tc>
          <w:tcPr>
            <w:tcW w:w="6233"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不少于1万人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平均响应时间</w:t>
            </w:r>
          </w:p>
        </w:tc>
        <w:tc>
          <w:tcPr>
            <w:tcW w:w="6233"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小于1.75秒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9"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系统部署方式</w:t>
            </w:r>
          </w:p>
        </w:tc>
        <w:tc>
          <w:tcPr>
            <w:tcW w:w="6233"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Docker虚拟化</w:t>
            </w:r>
          </w:p>
        </w:tc>
      </w:tr>
    </w:tbl>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p>
    <w:p>
      <w:pPr>
        <w:keepNext w:val="0"/>
        <w:keepLines w:val="0"/>
        <w:pageBreakBefore w:val="0"/>
        <w:numPr>
          <w:ilvl w:val="0"/>
          <w:numId w:val="0"/>
        </w:numPr>
        <w:kinsoku/>
        <w:wordWrap/>
        <w:topLinePunct w:val="0"/>
        <w:autoSpaceDE/>
        <w:autoSpaceDN/>
        <w:bidi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（二）、系统运行所需服务器硬件要求</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11"/>
        <w:gridCol w:w="64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11"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CPU</w:t>
            </w:r>
          </w:p>
        </w:tc>
        <w:tc>
          <w:tcPr>
            <w:tcW w:w="6411"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 xml:space="preserve">Intel XEON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11"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内存</w:t>
            </w:r>
          </w:p>
        </w:tc>
        <w:tc>
          <w:tcPr>
            <w:tcW w:w="6411"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16G+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11"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硬盘</w:t>
            </w:r>
          </w:p>
        </w:tc>
        <w:tc>
          <w:tcPr>
            <w:tcW w:w="6411"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11"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操作系统</w:t>
            </w:r>
          </w:p>
        </w:tc>
        <w:tc>
          <w:tcPr>
            <w:tcW w:w="6411"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CentOS 7.x 64 Bit Linux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11" w:type="dxa"/>
          </w:tcPr>
          <w:p>
            <w:pPr>
              <w:keepNext w:val="0"/>
              <w:keepLines w:val="0"/>
              <w:pageBreakBefore w:val="0"/>
              <w:numPr>
                <w:ilvl w:val="0"/>
                <w:numId w:val="0"/>
              </w:numPr>
              <w:kinsoku/>
              <w:wordWrap/>
              <w:topLinePunct w:val="0"/>
              <w:autoSpaceDE/>
              <w:autoSpaceDN/>
              <w:bidi w:val="0"/>
              <w:spacing w:line="360" w:lineRule="auto"/>
              <w:jc w:val="center"/>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带宽</w:t>
            </w:r>
          </w:p>
        </w:tc>
        <w:tc>
          <w:tcPr>
            <w:tcW w:w="6411" w:type="dxa"/>
          </w:tcPr>
          <w:p>
            <w:pPr>
              <w:keepNext w:val="0"/>
              <w:keepLines w:val="0"/>
              <w:pageBreakBefore w:val="0"/>
              <w:numPr>
                <w:ilvl w:val="0"/>
                <w:numId w:val="0"/>
              </w:numPr>
              <w:kinsoku/>
              <w:wordWrap/>
              <w:topLinePunct w:val="0"/>
              <w:autoSpaceDE/>
              <w:autoSpaceDN/>
              <w:bidi w:val="0"/>
              <w:spacing w:line="360" w:lineRule="auto"/>
              <w:textAlignment w:val="auto"/>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100MB</w:t>
            </w:r>
          </w:p>
        </w:tc>
      </w:tr>
    </w:tbl>
    <w:p>
      <w:pPr>
        <w:pStyle w:val="11"/>
        <w:keepNext w:val="0"/>
        <w:keepLines w:val="0"/>
        <w:pageBreakBefore w:val="0"/>
        <w:widowControl/>
        <w:kinsoku/>
        <w:wordWrap/>
        <w:topLinePunct w:val="0"/>
        <w:autoSpaceDE/>
        <w:autoSpaceDN/>
        <w:bidi w:val="0"/>
        <w:spacing w:line="360" w:lineRule="auto"/>
        <w:jc w:val="left"/>
        <w:textAlignment w:val="auto"/>
        <w:rPr>
          <w:rFonts w:hint="eastAsia" w:ascii="宋体" w:hAnsi="宋体"/>
          <w:sz w:val="24"/>
          <w:szCs w:val="24"/>
        </w:rPr>
      </w:pPr>
    </w:p>
    <w:p>
      <w:pPr>
        <w:pStyle w:val="10"/>
        <w:keepNext w:val="0"/>
        <w:keepLines w:val="0"/>
        <w:pageBreakBefore w:val="0"/>
        <w:kinsoku/>
        <w:wordWrap/>
        <w:topLinePunct w:val="0"/>
        <w:autoSpaceDE/>
        <w:autoSpaceDN/>
        <w:bidi w:val="0"/>
        <w:spacing w:line="360" w:lineRule="auto"/>
        <w:ind w:firstLine="522"/>
        <w:textAlignment w:val="auto"/>
        <w:outlineLvl w:val="3"/>
        <w:rPr>
          <w:rFonts w:hint="eastAsia" w:ascii="宋体" w:hAnsi="宋体"/>
          <w:b/>
          <w:sz w:val="28"/>
          <w:szCs w:val="28"/>
          <w:lang w:eastAsia="zh-CN"/>
        </w:rPr>
      </w:pPr>
      <w:r>
        <w:rPr>
          <w:rFonts w:hint="eastAsia" w:ascii="宋体" w:hAnsi="宋体"/>
          <w:b/>
          <w:sz w:val="28"/>
          <w:szCs w:val="28"/>
          <w:lang w:eastAsia="zh-CN"/>
        </w:rPr>
        <w:t>四、系统开发安全需求</w:t>
      </w:r>
    </w:p>
    <w:p>
      <w:pPr>
        <w:pStyle w:val="8"/>
        <w:keepNext w:val="0"/>
        <w:keepLines w:val="0"/>
        <w:pageBreakBefore w:val="0"/>
        <w:kinsoku/>
        <w:wordWrap/>
        <w:topLinePunct w:val="0"/>
        <w:autoSpaceDE/>
        <w:autoSpaceDN/>
        <w:bidi w:val="0"/>
        <w:spacing w:line="360" w:lineRule="auto"/>
        <w:ind w:firstLine="420"/>
        <w:textAlignment w:val="auto"/>
        <w:rPr>
          <w:rFonts w:hint="eastAsia" w:ascii="宋体" w:hAnsi="宋体"/>
          <w:bCs/>
          <w:kern w:val="0"/>
          <w:sz w:val="24"/>
          <w:szCs w:val="24"/>
        </w:rPr>
      </w:pPr>
      <w:r>
        <w:rPr>
          <w:rFonts w:hint="eastAsia" w:ascii="宋体" w:hAnsi="宋体"/>
          <w:bCs/>
          <w:kern w:val="0"/>
          <w:sz w:val="24"/>
          <w:szCs w:val="24"/>
        </w:rPr>
        <w:t>（一）本项目按照国家标准的信息系统等级保护第三级或以上安全设计技术要求进行应用系统安全设计。软件开发过程的控制方法和人员行为准则应遵照《GB/T 22239-2008 信息安全技术-信息系统安全等级保护基本要求》、《GB/T 28452-2012 信息安全技术-应用软件系统通用安全技术要求》、《GB/T 30998-2014 信息技术-软件安全保障规范》、《GB/T 32926-2016 信息安全技术 政府部门信息技术服务外包信息安全管理规范》、《GB/T 34946-2017 C#语言源代码漏洞测试规范》、《GB/T 34944-2017 Java语言源代码漏洞测试规范》、《GB/T 34943-2017 CC++语言源代码漏洞测试规范》等标准，依据安全需求进行安全设计，保证安全功能的完整实现。</w:t>
      </w:r>
    </w:p>
    <w:p>
      <w:pPr>
        <w:pStyle w:val="8"/>
        <w:keepNext w:val="0"/>
        <w:keepLines w:val="0"/>
        <w:pageBreakBefore w:val="0"/>
        <w:kinsoku/>
        <w:wordWrap/>
        <w:topLinePunct w:val="0"/>
        <w:autoSpaceDE/>
        <w:autoSpaceDN/>
        <w:bidi w:val="0"/>
        <w:spacing w:line="360" w:lineRule="auto"/>
        <w:ind w:firstLine="420"/>
        <w:textAlignment w:val="auto"/>
        <w:rPr>
          <w:rFonts w:hint="eastAsia" w:ascii="宋体" w:hAnsi="宋体"/>
          <w:bCs/>
          <w:kern w:val="0"/>
          <w:sz w:val="24"/>
          <w:szCs w:val="24"/>
        </w:rPr>
      </w:pPr>
      <w:r>
        <w:rPr>
          <w:rFonts w:hint="eastAsia" w:ascii="宋体" w:hAnsi="宋体"/>
          <w:bCs/>
          <w:kern w:val="0"/>
          <w:sz w:val="24"/>
          <w:szCs w:val="24"/>
        </w:rPr>
        <w:t>（二）系统开发测试和管理须遵循安全编程规则。程序员应通过简单的、经证实的编码技术提高程序集的安全性；通过良好设计的接口和面向对象编程的可靠技术来缩小攻击面；使用强名称使程序集具有防篡改性；减少与调用非托管代码相关的风险；编写安全的资源访问代码，包括文件I/O、注册表、事件日志、数据库和网络访问代码；解决常见程序集威胁需要应用的对策，包括防特权提升、代码注入、信息泄露和篡改等；不得在程序中植入后门和恶意代码。包括但不限于采取下表做法：</w:t>
      </w:r>
    </w:p>
    <w:tbl>
      <w:tblPr>
        <w:tblStyle w:val="4"/>
        <w:tblW w:w="0" w:type="auto"/>
        <w:jc w:val="center"/>
        <w:tblLayout w:type="fixed"/>
        <w:tblCellMar>
          <w:top w:w="0" w:type="dxa"/>
          <w:left w:w="108" w:type="dxa"/>
          <w:bottom w:w="0" w:type="dxa"/>
          <w:right w:w="108" w:type="dxa"/>
        </w:tblCellMar>
      </w:tblPr>
      <w:tblGrid>
        <w:gridCol w:w="2127"/>
        <w:gridCol w:w="7229"/>
      </w:tblGrid>
      <w:tr>
        <w:tblPrEx>
          <w:tblCellMar>
            <w:top w:w="0" w:type="dxa"/>
            <w:left w:w="108" w:type="dxa"/>
            <w:bottom w:w="0" w:type="dxa"/>
            <w:right w:w="108" w:type="dxa"/>
          </w:tblCellMar>
        </w:tblPrEx>
        <w:trPr>
          <w:trHeight w:val="477" w:hRule="atLeast"/>
          <w:jc w:val="center"/>
        </w:trPr>
        <w:tc>
          <w:tcPr>
            <w:tcW w:w="2127" w:type="dxa"/>
            <w:tcBorders>
              <w:top w:val="single" w:color="auto" w:sz="4" w:space="0"/>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spacing w:line="360" w:lineRule="auto"/>
              <w:jc w:val="center"/>
              <w:textAlignment w:val="auto"/>
              <w:rPr>
                <w:rFonts w:ascii="宋体" w:hAnsi="宋体" w:cs="宋体"/>
                <w:b/>
                <w:bCs/>
                <w:kern w:val="0"/>
                <w:sz w:val="24"/>
              </w:rPr>
            </w:pPr>
            <w:r>
              <w:rPr>
                <w:rFonts w:hint="eastAsia" w:ascii="宋体" w:hAnsi="宋体" w:cs="宋体"/>
                <w:b/>
                <w:bCs/>
                <w:kern w:val="0"/>
                <w:sz w:val="24"/>
              </w:rPr>
              <w:t>事项</w:t>
            </w:r>
          </w:p>
        </w:tc>
        <w:tc>
          <w:tcPr>
            <w:tcW w:w="7229" w:type="dxa"/>
            <w:tcBorders>
              <w:top w:val="single" w:color="auto" w:sz="4" w:space="0"/>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spacing w:line="360" w:lineRule="auto"/>
              <w:jc w:val="center"/>
              <w:textAlignment w:val="auto"/>
              <w:rPr>
                <w:rFonts w:hint="eastAsia" w:ascii="宋体" w:hAnsi="宋体" w:cs="宋体"/>
                <w:b/>
                <w:bCs/>
                <w:kern w:val="0"/>
                <w:sz w:val="24"/>
              </w:rPr>
            </w:pPr>
            <w:r>
              <w:rPr>
                <w:rFonts w:hint="eastAsia" w:ascii="宋体" w:hAnsi="宋体" w:cs="宋体"/>
                <w:b/>
                <w:bCs/>
                <w:kern w:val="0"/>
                <w:sz w:val="24"/>
              </w:rPr>
              <w:t>安全要求</w:t>
            </w:r>
          </w:p>
        </w:tc>
      </w:tr>
      <w:tr>
        <w:tblPrEx>
          <w:tblCellMar>
            <w:top w:w="0" w:type="dxa"/>
            <w:left w:w="108" w:type="dxa"/>
            <w:bottom w:w="0" w:type="dxa"/>
            <w:right w:w="108" w:type="dxa"/>
          </w:tblCellMar>
        </w:tblPrEx>
        <w:trPr>
          <w:trHeight w:val="51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主动的安全开发过程</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不断改进开发过程，安全贯穿于设计阶段、开发阶段、测试阶段。</w:t>
            </w:r>
          </w:p>
        </w:tc>
      </w:tr>
      <w:tr>
        <w:tblPrEx>
          <w:tblCellMar>
            <w:top w:w="0" w:type="dxa"/>
            <w:left w:w="108" w:type="dxa"/>
            <w:bottom w:w="0" w:type="dxa"/>
            <w:right w:w="108" w:type="dxa"/>
          </w:tblCellMar>
        </w:tblPrEx>
        <w:trPr>
          <w:trHeight w:val="9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赖以生存的安全法则</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从错误中吸取教训；尽可能缩小攻击面；采用安全的默认设置；纵深防御；使用最小特权；向下兼容总是不安全的；假设外部系统是不安全的；失败时的应对计划；失败时进入安全模式；安全特性不等于安全的特性；决不要将安全仅维系于隐匿；不要将代码与数据混在一起；正确地解决安全问题。</w:t>
            </w:r>
          </w:p>
        </w:tc>
      </w:tr>
      <w:tr>
        <w:tblPrEx>
          <w:tblCellMar>
            <w:top w:w="0" w:type="dxa"/>
            <w:left w:w="108" w:type="dxa"/>
            <w:bottom w:w="0" w:type="dxa"/>
            <w:right w:w="108" w:type="dxa"/>
          </w:tblCellMar>
        </w:tblPrEx>
        <w:trPr>
          <w:trHeight w:val="713"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防止缓冲区溢出</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堆栈溢出；堆溢出；数组下标错误；格式字符串错误；Unicode和ANSI缓冲区大小不匹配。</w:t>
            </w:r>
          </w:p>
        </w:tc>
      </w:tr>
      <w:tr>
        <w:tblPrEx>
          <w:tblCellMar>
            <w:top w:w="0" w:type="dxa"/>
            <w:left w:w="108" w:type="dxa"/>
            <w:bottom w:w="0" w:type="dxa"/>
            <w:right w:w="108" w:type="dxa"/>
          </w:tblCellMar>
        </w:tblPrEx>
        <w:trPr>
          <w:trHeight w:val="98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以最小特权运行</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最小特权运行；访问控制；令牌。应用程序要求提高特权的三个理由（ACL问题、特权问题、使用LSA秘密），解决提高特权的问题，确定适当特权的过程，Windows中的低特权级服务账户，模拟特权，调试最小特权问题。</w:t>
            </w:r>
          </w:p>
        </w:tc>
      </w:tr>
      <w:tr>
        <w:tblPrEx>
          <w:tblCellMar>
            <w:top w:w="0" w:type="dxa"/>
            <w:left w:w="108" w:type="dxa"/>
            <w:bottom w:w="0" w:type="dxa"/>
            <w:right w:w="108" w:type="dxa"/>
          </w:tblCellMar>
        </w:tblPrEx>
        <w:trPr>
          <w:trHeight w:val="696"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加密</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不宜编写自己的加密软件，应使用现成可用的 Microsoft 加密 API和加密方案。</w:t>
            </w:r>
          </w:p>
        </w:tc>
      </w:tr>
      <w:tr>
        <w:tblPrEx>
          <w:tblCellMar>
            <w:top w:w="0" w:type="dxa"/>
            <w:left w:w="108" w:type="dxa"/>
            <w:bottom w:w="0" w:type="dxa"/>
            <w:right w:w="108" w:type="dxa"/>
          </w:tblCellMar>
        </w:tblPrEx>
        <w:trPr>
          <w:trHeight w:val="99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保护机密数据</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保护秘密信息；不要选择最低共同点解决方案；管理内存中的秘密；锁定内存以防敏感数据被分页；保护托管代码中的机密数据；提高安全门槛，必要时才采用折衷方案。</w:t>
            </w:r>
          </w:p>
        </w:tc>
      </w:tr>
      <w:tr>
        <w:tblPrEx>
          <w:tblCellMar>
            <w:top w:w="0" w:type="dxa"/>
            <w:left w:w="108" w:type="dxa"/>
            <w:bottom w:w="0" w:type="dxa"/>
            <w:right w:w="108" w:type="dxa"/>
          </w:tblCellMar>
        </w:tblPrEx>
        <w:trPr>
          <w:trHeight w:val="557"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身份认证</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具有完备的权限管理和用户认证措施（统一账号、统一授权、统一认证、日志管理、统一审计），杜绝未授权的非法访问。从登录、修改密码、初始化密码等源头强制使用中等强度以上密码（8位以上包含字母、数字、特殊符号三类字符的字符串）。修改密码时，禁止新旧密码相同；用户设置密码不能与用户名相同；初始化密码每人每次各不相同。可单个配置用户或统一设置全部用户的认证检验项（是否允许同一账户同时在线、是否启用校验码及其复杂度、允许认证失败次数及锁定时长、身份鉴别方式组合、启用/停用账户、账户有效期等）。校验码里的字符须有干扰线。可对用户角色权限进行管理操作，可修改用户的权限内容。可对系统生成的日志进行管理操作，包括：日志查询、日志详情查看、日志导出等功能， 防止日志注入（Log Injection），日志记录前要对非信任的数据进行校验或编码。具有审计功能，对历史操作可追溯、回访。</w:t>
            </w:r>
          </w:p>
        </w:tc>
      </w:tr>
      <w:tr>
        <w:tblPrEx>
          <w:tblCellMar>
            <w:top w:w="0" w:type="dxa"/>
            <w:left w:w="108" w:type="dxa"/>
            <w:bottom w:w="0" w:type="dxa"/>
            <w:right w:w="108" w:type="dxa"/>
          </w:tblCellMar>
        </w:tblPrEx>
        <w:trPr>
          <w:trHeight w:val="875"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一切输入都是有害的</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程序默认情况下就要对输入的信息进行验证，拒绝验证失败的数据。把输入验证作为软件框架的一部分，所有输入使用一致的输入验证；使用正则表达式检查输入；不能使用正则表达式寻求最佳做法。将可信和不可信数据分别储存来保证输入验证总是被执行。对来自命令行、系统属性，环境变量以及配置文件的输入都需要进行校验，保证它们是一致的和健全的。</w:t>
            </w:r>
          </w:p>
        </w:tc>
      </w:tr>
      <w:tr>
        <w:tblPrEx>
          <w:tblCellMar>
            <w:top w:w="0" w:type="dxa"/>
            <w:left w:w="108" w:type="dxa"/>
            <w:bottom w:w="0" w:type="dxa"/>
            <w:right w:w="108" w:type="dxa"/>
          </w:tblCellMar>
        </w:tblPrEx>
        <w:trPr>
          <w:trHeight w:val="825"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规范表示的问题</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规范文件名的问题；基于Web的规范问题；视觉等效攻击和同形异义词攻击；预防规范化错误；基于Web的规范化问题的补救措施。</w:t>
            </w:r>
          </w:p>
        </w:tc>
      </w:tr>
      <w:tr>
        <w:tblPrEx>
          <w:tblCellMar>
            <w:top w:w="0" w:type="dxa"/>
            <w:left w:w="108" w:type="dxa"/>
            <w:bottom w:w="0" w:type="dxa"/>
            <w:right w:w="108" w:type="dxa"/>
          </w:tblCellMar>
        </w:tblPrEx>
        <w:trPr>
          <w:trHeight w:val="41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数据库</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合理分配数据库访问权限；合理存放数据库连接账号和密码信息；以安全方式创建SQL语句；使用参数化请求方式并进行数据类型检查；对SQL语句中来自于不可信区域的输入参数进行验证；对数据库操作返回数据进行验证；分次提取数据；确保数据库资源被释放。</w:t>
            </w:r>
          </w:p>
        </w:tc>
      </w:tr>
      <w:tr>
        <w:tblPrEx>
          <w:tblCellMar>
            <w:top w:w="0" w:type="dxa"/>
            <w:left w:w="108" w:type="dxa"/>
            <w:bottom w:w="0" w:type="dxa"/>
            <w:right w:w="108" w:type="dxa"/>
          </w:tblCellMar>
        </w:tblPrEx>
        <w:trPr>
          <w:trHeight w:val="557"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文件访问及上传下载</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使用文件系统访问控制；注意文件访问竞争条件；安全使用临时文件；确保文件系统资源被释放。禁止上传目录的执行权限；对上传文件进行限制（是否包含特殊字符和扩展名）；把文件名以及文件内容作为不可信的输入对待；安全使用文件名。文件下载和引用时，应该检查该用户是否具有此文件的相关权限，禁止下载应用系统自身的配置和数据，禁止直接根据文件位置和文件名来定位下载文件。</w:t>
            </w:r>
          </w:p>
        </w:tc>
      </w:tr>
      <w:tr>
        <w:tblPrEx>
          <w:tblCellMar>
            <w:top w:w="0" w:type="dxa"/>
            <w:left w:w="108" w:type="dxa"/>
            <w:bottom w:w="0" w:type="dxa"/>
            <w:right w:w="108" w:type="dxa"/>
          </w:tblCellMar>
        </w:tblPrEx>
        <w:trPr>
          <w:trHeight w:val="1124"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Web常见安全问题</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具有防暴力破解、防SQL注入、防跨站脚本攻击、上传文件格式限制、防会话劫持、防重复注册、防虚假认证、防存储篡改、防数据外泄等安全措施。验证来自HTTP请求中的所有数据，恶意数据可以从表单域、URL参数、cookie、http头以及 URL自身传入。过滤器调用前对需要过滤的数据进行URL解码，并统一变成小写，一旦发现匹配危险字符串成功则拒绝请求；邮箱地址、用户名、密码、日期、汉字、手机号、身份证号、网址、编号代码等均有固定格式，均使用白名单正则匹配来限制输入；防止客户端恶意代码执行，在服务端对输出的数据内容进行HTML编码转义按照</w:t>
            </w:r>
            <w:r>
              <w:rPr>
                <w:rFonts w:ascii="宋体" w:hAnsi="宋体" w:cs="宋体"/>
                <w:kern w:val="0"/>
                <w:sz w:val="24"/>
              </w:rPr>
              <w:t>UTF-8</w:t>
            </w:r>
            <w:r>
              <w:rPr>
                <w:rFonts w:hint="eastAsia" w:ascii="宋体" w:hAnsi="宋体" w:cs="宋体"/>
                <w:kern w:val="0"/>
                <w:sz w:val="24"/>
              </w:rPr>
              <w:t>标准来执行。认证失败错误提示模糊处理。不允许攻击者控制发送给文件系统、浏览器、数据库或者其它子系统的命令。使用 HTTP POST方法来保证 Request参数的安全。不管在客户端是否经过输入验证，在服务端仍要进行验证。对所有的异常构造统一的错误页面，包括HTTP错误和未经处理的异常。应用错误提示信息不会泄露系统信息以及出错原因等敏感信息，自定义友好的错误页面来代替默认的错误页面。在会话终止时清空其数据。使用最具限制性的域和路径来限制对会话使用的cookie的访问，cookie有效时间不得超过24小时，在cookie中加入HttpOnly来防止跨站脚本盗取cookie。在HTTP响应头中加入x-xss-protection: 1； mode=block来启用XSS保护。强制执行一个会话最大生存周期，在会话终止时清空其数据。日志真实可靠，不可伪造和篡改。</w:t>
            </w:r>
          </w:p>
        </w:tc>
      </w:tr>
      <w:tr>
        <w:tblPrEx>
          <w:tblCellMar>
            <w:top w:w="0" w:type="dxa"/>
            <w:left w:w="108" w:type="dxa"/>
            <w:bottom w:w="0" w:type="dxa"/>
            <w:right w:w="108" w:type="dxa"/>
          </w:tblCellMar>
        </w:tblPrEx>
        <w:trPr>
          <w:trHeight w:val="692"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国际化问题</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适应多个地区语言和文化风俗习惯。在应用程序中使用Unicode；预防i18n缓冲区溢出；验证i18n；字符集转换问题；比较和排序；Unicode字符属性；时间时区问题及其格式化处理；规范化。</w:t>
            </w:r>
          </w:p>
        </w:tc>
      </w:tr>
      <w:tr>
        <w:tblPrEx>
          <w:tblCellMar>
            <w:top w:w="0" w:type="dxa"/>
            <w:left w:w="108" w:type="dxa"/>
            <w:bottom w:w="0" w:type="dxa"/>
            <w:right w:w="108" w:type="dxa"/>
          </w:tblCellMar>
        </w:tblPrEx>
        <w:trPr>
          <w:trHeight w:val="844"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Socket安全编程</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避免服务器被劫持；TCP窗口攻击；选择服务器接口；接受连接；编写防火墙友好的应用程序；预防基于主机和基于端口信任的欺骗。</w:t>
            </w:r>
          </w:p>
        </w:tc>
      </w:tr>
      <w:tr>
        <w:tblPrEx>
          <w:tblCellMar>
            <w:top w:w="0" w:type="dxa"/>
            <w:left w:w="108" w:type="dxa"/>
            <w:bottom w:w="0" w:type="dxa"/>
            <w:right w:w="108" w:type="dxa"/>
          </w:tblCellMar>
        </w:tblPrEx>
        <w:trPr>
          <w:trHeight w:val="557"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RPC/DCOM和Activex控件安全编程</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慎用RPC/DCOM；</w:t>
            </w:r>
            <w:r>
              <w:rPr>
                <w:rFonts w:hint="eastAsia" w:ascii="宋体" w:hAnsi="宋体" w:cs="宋体"/>
                <w:b w:val="0"/>
                <w:bCs/>
                <w:kern w:val="0"/>
                <w:sz w:val="24"/>
              </w:rPr>
              <w:t>不得使用ActiveX。</w:t>
            </w:r>
          </w:p>
        </w:tc>
      </w:tr>
      <w:tr>
        <w:tblPrEx>
          <w:tblCellMar>
            <w:top w:w="0" w:type="dxa"/>
            <w:left w:w="108" w:type="dxa"/>
            <w:bottom w:w="0" w:type="dxa"/>
            <w:right w:w="108" w:type="dxa"/>
          </w:tblCellMar>
        </w:tblPrEx>
        <w:trPr>
          <w:trHeight w:val="701"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拒绝服务攻击的防范</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应用程序失败攻击；CPU不足攻击；内存不足攻击 ；资源不足攻击；网络带宽攻击。</w:t>
            </w:r>
          </w:p>
        </w:tc>
      </w:tr>
      <w:tr>
        <w:tblPrEx>
          <w:tblCellMar>
            <w:top w:w="0" w:type="dxa"/>
            <w:left w:w="108" w:type="dxa"/>
            <w:bottom w:w="0" w:type="dxa"/>
            <w:right w:w="108" w:type="dxa"/>
          </w:tblCellMar>
        </w:tblPrEx>
        <w:trPr>
          <w:trHeight w:val="935"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编写安全的代码</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严格验证导出的和公共的应用程序编程接口 (API) 的所有参数；代码访问安全；程序集是强命名的；指定程序集权限需求；及时禁用断言；验证请求和链接请求；验证远程请求；限制代码的使用范围；不要在XML或配置文件中存储敏感数据；审查允许部分信任的程序集；检查非托管代码的托管包装的正确性；隔离存储的作用；在部署应用程序之前禁用跟踪和调试；不要远程发布冗长的错误信息；对来源不可信的数据进行反序列化；失败时不要让攻击者知道太多，不允许攻击者能够写任意的数据到日志里；禁止在源代码中写入口令；不得在客户端存放敏感数据。</w:t>
            </w:r>
          </w:p>
        </w:tc>
      </w:tr>
      <w:tr>
        <w:tblPrEx>
          <w:tblCellMar>
            <w:top w:w="0" w:type="dxa"/>
            <w:left w:w="108" w:type="dxa"/>
            <w:bottom w:w="0" w:type="dxa"/>
            <w:right w:w="108" w:type="dxa"/>
          </w:tblCellMar>
        </w:tblPrEx>
        <w:trPr>
          <w:trHeight w:val="51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在代码中加入隐私策略</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建立隐私基础设施；设计尊重隐私的应用程序。</w:t>
            </w:r>
          </w:p>
        </w:tc>
      </w:tr>
      <w:tr>
        <w:tblPrEx>
          <w:tblCellMar>
            <w:top w:w="0" w:type="dxa"/>
            <w:left w:w="108" w:type="dxa"/>
            <w:bottom w:w="0" w:type="dxa"/>
            <w:right w:w="108" w:type="dxa"/>
          </w:tblCellMar>
        </w:tblPrEx>
        <w:trPr>
          <w:trHeight w:val="134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安全性测试</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根据威胁模型制定安全性测试计划；制订检查表进行代码安全检查。用欺诈性的服务程序测试客户软件；用户是否应看到或修改数据；用安全模板进行测试；发现一个错误时测试并未结束；测试码应有很高的质量；测试端到端解决方案；确定攻击面。</w:t>
            </w:r>
          </w:p>
        </w:tc>
      </w:tr>
      <w:tr>
        <w:tblPrEx>
          <w:tblCellMar>
            <w:top w:w="0" w:type="dxa"/>
            <w:left w:w="108" w:type="dxa"/>
            <w:bottom w:w="0" w:type="dxa"/>
            <w:right w:w="108" w:type="dxa"/>
          </w:tblCellMar>
        </w:tblPrEx>
        <w:trPr>
          <w:trHeight w:val="693"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审查代码安全</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建议使用自动化使用源代码分析工具审核代码。从易处着手，多遍审查；对指针代码进行额外的审查；绝不要相信网络上的所谓标准代码。</w:t>
            </w:r>
          </w:p>
        </w:tc>
      </w:tr>
      <w:tr>
        <w:tblPrEx>
          <w:tblCellMar>
            <w:top w:w="0" w:type="dxa"/>
            <w:left w:w="108" w:type="dxa"/>
            <w:bottom w:w="0" w:type="dxa"/>
            <w:right w:w="108" w:type="dxa"/>
          </w:tblCellMar>
        </w:tblPrEx>
        <w:trPr>
          <w:trHeight w:val="51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安全的软件安装</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最小特权原则；安装后立即清除密码；使用安全配置编辑器；调用低层的安全API。</w:t>
            </w:r>
          </w:p>
        </w:tc>
      </w:tr>
      <w:tr>
        <w:tblPrEx>
          <w:tblCellMar>
            <w:top w:w="0" w:type="dxa"/>
            <w:left w:w="108" w:type="dxa"/>
            <w:bottom w:w="0" w:type="dxa"/>
            <w:right w:w="108" w:type="dxa"/>
          </w:tblCellMar>
        </w:tblPrEx>
        <w:trPr>
          <w:trHeight w:val="510"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编写安全文档和错误消息</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文档中的安全问题；信息泄漏问题；错误消息中的安全问题；安全消息；对安全消息进行可用性测试；审阅产品说明书；检查安全设置的可用性。</w:t>
            </w:r>
          </w:p>
        </w:tc>
      </w:tr>
      <w:tr>
        <w:tblPrEx>
          <w:tblCellMar>
            <w:top w:w="0" w:type="dxa"/>
            <w:left w:w="108" w:type="dxa"/>
            <w:bottom w:w="0" w:type="dxa"/>
            <w:right w:w="108" w:type="dxa"/>
          </w:tblCellMar>
        </w:tblPrEx>
        <w:trPr>
          <w:trHeight w:val="552" w:hRule="atLeast"/>
          <w:jc w:val="center"/>
        </w:trPr>
        <w:tc>
          <w:tcPr>
            <w:tcW w:w="2127" w:type="dxa"/>
            <w:tcBorders>
              <w:top w:val="nil"/>
              <w:left w:val="single" w:color="auto" w:sz="4" w:space="0"/>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常用的好做法</w:t>
            </w:r>
          </w:p>
        </w:tc>
        <w:tc>
          <w:tcPr>
            <w:tcW w:w="7229" w:type="dxa"/>
            <w:tcBorders>
              <w:top w:val="nil"/>
              <w:left w:val="nil"/>
              <w:bottom w:val="single" w:color="auto" w:sz="4" w:space="0"/>
              <w:right w:val="single" w:color="auto" w:sz="4" w:space="0"/>
            </w:tcBorders>
            <w:noWrap w:val="0"/>
            <w:vAlign w:val="center"/>
          </w:tcPr>
          <w:p>
            <w:pPr>
              <w:pStyle w:val="12"/>
              <w:keepNext w:val="0"/>
              <w:keepLines w:val="0"/>
              <w:pageBreakBefore w:val="0"/>
              <w:widowControl/>
              <w:kinsoku/>
              <w:wordWrap/>
              <w:topLinePunct w:val="0"/>
              <w:autoSpaceDE/>
              <w:autoSpaceDN/>
              <w:bidi w:val="0"/>
              <w:adjustRightInd w:val="0"/>
              <w:snapToGrid w:val="0"/>
              <w:spacing w:line="360" w:lineRule="auto"/>
              <w:jc w:val="left"/>
              <w:textAlignment w:val="auto"/>
              <w:rPr>
                <w:rFonts w:hint="eastAsia" w:ascii="宋体" w:hAnsi="宋体" w:cs="宋体"/>
                <w:kern w:val="0"/>
                <w:sz w:val="24"/>
              </w:rPr>
            </w:pPr>
            <w:r>
              <w:rPr>
                <w:rFonts w:hint="eastAsia" w:ascii="宋体" w:hAnsi="宋体" w:cs="宋体"/>
                <w:kern w:val="0"/>
                <w:sz w:val="24"/>
              </w:rPr>
              <w:t>不要向攻击者透露任何信息；寻求最佳做法；不要以标志字符串的形式泄漏信息；在补丁中改变错误信息时要谨慎；复查错误路径；保持关闭；核心态错误；在代码中添加关于安全的注释；借助于操作系统的功能；不要依赖用户去做正确的选择；安全地调用CreateProcess函数；不要创建共享的/可写的代码段；正确使用模拟函数；不要将用户文件写人ProgramFiles目录；不要以“完全控制”权限打开对象；对象创建错误；慎用CreateFile，安全地创建临时文件；Setup程序和EFS文件系统的问题；文件系统重解析点问题；客户端安全是自相矛盾的说法；范例就是模板；以身作则、亲身体验；基于管理员SID确定访问权限；允许使用长口令；慎用_alloca、ALT转换宏；不要嵌入公司的名称；将字符串移至资源DLL中；应用程序日志；从危险的C/C++迁移到托管代码。</w:t>
            </w:r>
          </w:p>
        </w:tc>
      </w:tr>
    </w:tbl>
    <w:p>
      <w:pPr>
        <w:keepNext w:val="0"/>
        <w:keepLines w:val="0"/>
        <w:pageBreakBefore w:val="0"/>
        <w:kinsoku/>
        <w:wordWrap/>
        <w:topLinePunct w:val="0"/>
        <w:autoSpaceDE/>
        <w:autoSpaceDN/>
        <w:bidi w:val="0"/>
        <w:spacing w:line="360" w:lineRule="auto"/>
        <w:textAlignment w:val="auto"/>
        <w:rPr>
          <w:rFonts w:hint="eastAsia"/>
          <w:sz w:val="28"/>
          <w:szCs w:val="28"/>
          <w:lang w:val="en-US" w:eastAsia="zh-CN"/>
        </w:rPr>
      </w:pPr>
      <w:r>
        <w:rPr>
          <w:rFonts w:hint="eastAsia"/>
          <w:sz w:val="28"/>
          <w:szCs w:val="28"/>
          <w:lang w:val="en-US" w:eastAsia="zh-CN"/>
        </w:rPr>
        <w:t xml:space="preserve">                 </w:t>
      </w:r>
    </w:p>
    <w:p>
      <w:pPr>
        <w:keepNext w:val="0"/>
        <w:keepLines w:val="0"/>
        <w:pageBreakBefore w:val="0"/>
        <w:kinsoku/>
        <w:wordWrap/>
        <w:topLinePunct w:val="0"/>
        <w:autoSpaceDE/>
        <w:autoSpaceDN/>
        <w:bidi w:val="0"/>
        <w:spacing w:line="360" w:lineRule="auto"/>
        <w:jc w:val="right"/>
        <w:textAlignment w:val="auto"/>
        <w:rPr>
          <w:rFonts w:hint="eastAsia"/>
          <w:sz w:val="28"/>
          <w:szCs w:val="28"/>
          <w:lang w:val="en-US" w:eastAsia="zh-CN"/>
        </w:rPr>
      </w:pPr>
      <w:bookmarkStart w:id="0" w:name="_GoBack"/>
      <w:bookmarkEnd w:id="0"/>
      <w:r>
        <w:rPr>
          <w:rFonts w:hint="eastAsia"/>
          <w:sz w:val="28"/>
          <w:szCs w:val="28"/>
          <w:lang w:val="en-US" w:eastAsia="zh-CN"/>
        </w:rPr>
        <w:t>威海市招生考试办公室</w:t>
      </w:r>
    </w:p>
    <w:p>
      <w:pPr>
        <w:keepNext w:val="0"/>
        <w:keepLines w:val="0"/>
        <w:pageBreakBefore w:val="0"/>
        <w:kinsoku/>
        <w:wordWrap/>
        <w:topLinePunct w:val="0"/>
        <w:autoSpaceDE/>
        <w:autoSpaceDN/>
        <w:bidi w:val="0"/>
        <w:spacing w:line="360" w:lineRule="auto"/>
        <w:jc w:val="right"/>
        <w:textAlignment w:val="auto"/>
        <w:rPr>
          <w:rFonts w:hint="eastAsia"/>
          <w:sz w:val="28"/>
          <w:szCs w:val="28"/>
          <w:lang w:val="en-US" w:eastAsia="zh-CN"/>
        </w:rPr>
      </w:pPr>
    </w:p>
    <w:p>
      <w:pPr>
        <w:keepNext w:val="0"/>
        <w:keepLines w:val="0"/>
        <w:pageBreakBefore w:val="0"/>
        <w:kinsoku/>
        <w:wordWrap/>
        <w:topLinePunct w:val="0"/>
        <w:autoSpaceDE/>
        <w:autoSpaceDN/>
        <w:bidi w:val="0"/>
        <w:spacing w:line="360" w:lineRule="auto"/>
        <w:jc w:val="right"/>
        <w:textAlignment w:val="auto"/>
        <w:rPr>
          <w:rFonts w:hint="default"/>
          <w:sz w:val="28"/>
          <w:szCs w:val="28"/>
          <w:lang w:val="en-US" w:eastAsia="zh-CN"/>
        </w:rPr>
      </w:pPr>
      <w:r>
        <w:rPr>
          <w:rFonts w:hint="eastAsia"/>
          <w:sz w:val="28"/>
          <w:szCs w:val="28"/>
          <w:lang w:val="en-US" w:eastAsia="zh-CN"/>
        </w:rPr>
        <w:t xml:space="preserve">                                               年  月   日</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both"/>
      <w:rPr>
        <w:rFonts w:hint="default"/>
        <w:lang w:val="en-US"/>
      </w:rP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9</w:t>
                          </w:r>
                          <w:r>
                            <w:rPr>
                              <w:rFonts w:hint="eastAsia"/>
                              <w:lang w:eastAsia="zh-CN"/>
                            </w:rPr>
                            <w:fldChar w:fldCharType="end"/>
                          </w:r>
                          <w:r>
                            <w:rPr>
                              <w:rFonts w:hint="eastAsia"/>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LNJWO7QAAAABQEAAA8AAAAAAAAAAQAg&#10;AAAAIgAAAGRycy9kb3ducmV2LnhtbFBLAQIUABQAAAAIAIdO4kDzzfY5wQIAANYFAAAOAAAAAAAA&#10;AAEAIAAAAB8BAABkcnMvZTJvRG9jLnhtbFBLBQYAAAAABgAGAFkBAABSBg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9</w:t>
                    </w:r>
                    <w:r>
                      <w:rPr>
                        <w:rFonts w:hint="eastAsia"/>
                        <w:lang w:eastAsia="zh-CN"/>
                      </w:rPr>
                      <w:fldChar w:fldCharType="end"/>
                    </w:r>
                    <w:r>
                      <w:rPr>
                        <w:rFonts w:hint="eastAsia"/>
                        <w:lang w:eastAsia="zh-CN"/>
                      </w:rPr>
                      <w:t xml:space="preserve"> 页</w:t>
                    </w:r>
                  </w:p>
                </w:txbxContent>
              </v:textbox>
            </v:shape>
          </w:pict>
        </mc:Fallback>
      </mc:AlternateContent>
    </w:r>
    <w:r>
      <w:rPr>
        <w:rFonts w:hint="eastAsia"/>
        <w:lang w:val="en-US" w:eastAsia="zh-CN"/>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7EA2FA"/>
    <w:multiLevelType w:val="multilevel"/>
    <w:tmpl w:val="0B7EA2FA"/>
    <w:lvl w:ilvl="0" w:tentative="0">
      <w:start w:val="1"/>
      <w:numFmt w:val="chineseCounting"/>
      <w:suff w:val="nothing"/>
      <w:lvlText w:val="%1、"/>
      <w:lvlJc w:val="left"/>
      <w:rPr>
        <w:rFonts w:hint="eastAsia"/>
      </w:rPr>
    </w:lvl>
    <w:lvl w:ilvl="1" w:tentative="0">
      <w:start w:val="1"/>
      <w:numFmt w:val="decimal"/>
      <w:suff w:val="nothing"/>
      <w:lvlText w:val="%2．"/>
      <w:lvlJc w:val="left"/>
      <w:rPr>
        <w:rFonts w:hint="eastAsia"/>
      </w:rPr>
    </w:lvl>
    <w:lvl w:ilvl="2" w:tentative="0">
      <w:start w:val="1"/>
      <w:numFmt w:val="decimal"/>
      <w:suff w:val="nothing"/>
      <w:lvlText w:val="（%3）"/>
      <w:lvlJc w:val="left"/>
      <w:rPr>
        <w:rFonts w:hint="eastAsia"/>
      </w:rPr>
    </w:lvl>
    <w:lvl w:ilvl="3" w:tentative="0">
      <w:start w:val="1"/>
      <w:numFmt w:val="decimalEnclosedCircleChinese"/>
      <w:suff w:val="nothing"/>
      <w:lvlText w:val="%4"/>
      <w:lvlJc w:val="left"/>
      <w:rPr>
        <w:rFonts w:hint="eastAsia"/>
      </w:rPr>
    </w:lvl>
    <w:lvl w:ilvl="4" w:tentative="0">
      <w:start w:val="1"/>
      <w:numFmt w:val="decimal"/>
      <w:suff w:val="nothing"/>
      <w:lvlText w:val="%5）"/>
      <w:lvlJc w:val="left"/>
      <w:rPr>
        <w:rFonts w:hint="eastAsia"/>
      </w:rPr>
    </w:lvl>
    <w:lvl w:ilvl="5" w:tentative="0">
      <w:start w:val="1"/>
      <w:numFmt w:val="lowerLetter"/>
      <w:suff w:val="nothing"/>
      <w:lvlText w:val="%6．"/>
      <w:lvlJc w:val="left"/>
      <w:rPr>
        <w:rFonts w:hint="eastAsia"/>
      </w:rPr>
    </w:lvl>
    <w:lvl w:ilvl="6" w:tentative="0">
      <w:start w:val="1"/>
      <w:numFmt w:val="lowerLetter"/>
      <w:suff w:val="nothing"/>
      <w:lvlText w:val="%7）"/>
      <w:lvlJc w:val="left"/>
      <w:rPr>
        <w:rFonts w:hint="eastAsia"/>
      </w:rPr>
    </w:lvl>
    <w:lvl w:ilvl="7" w:tentative="0">
      <w:start w:val="1"/>
      <w:numFmt w:val="lowerRoman"/>
      <w:suff w:val="nothing"/>
      <w:lvlText w:val="%8．"/>
      <w:lvlJc w:val="left"/>
      <w:rPr>
        <w:rFonts w:hint="eastAsia"/>
      </w:rPr>
    </w:lvl>
    <w:lvl w:ilvl="8" w:tentative="0">
      <w:start w:val="1"/>
      <w:numFmt w:val="lowerRoman"/>
      <w:suff w:val="nothing"/>
      <w:lvlText w:val="%9）"/>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EC6134"/>
    <w:rsid w:val="0519113E"/>
    <w:rsid w:val="055A43BB"/>
    <w:rsid w:val="0AF969E7"/>
    <w:rsid w:val="1B304967"/>
    <w:rsid w:val="1ED06D2A"/>
    <w:rsid w:val="21CF0DEA"/>
    <w:rsid w:val="32651DEF"/>
    <w:rsid w:val="335B5300"/>
    <w:rsid w:val="36432E9A"/>
    <w:rsid w:val="39C6687F"/>
    <w:rsid w:val="3A9A5A80"/>
    <w:rsid w:val="461C3A89"/>
    <w:rsid w:val="49B62C76"/>
    <w:rsid w:val="57E77E77"/>
    <w:rsid w:val="5837311A"/>
    <w:rsid w:val="58BC3A6E"/>
    <w:rsid w:val="5B925027"/>
    <w:rsid w:val="5C1D78FF"/>
    <w:rsid w:val="62EC6134"/>
    <w:rsid w:val="64A242E5"/>
    <w:rsid w:val="70041715"/>
    <w:rsid w:val="791B11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page number"/>
    <w:basedOn w:val="6"/>
    <w:qFormat/>
    <w:uiPriority w:val="0"/>
  </w:style>
  <w:style w:type="paragraph" w:customStyle="1" w:styleId="8">
    <w:name w:val="正文_1"/>
    <w:qFormat/>
    <w:uiPriority w:val="0"/>
    <w:pPr>
      <w:widowControl w:val="0"/>
      <w:jc w:val="both"/>
    </w:pPr>
    <w:rPr>
      <w:rFonts w:ascii="Calibri" w:hAnsi="Calibri" w:eastAsia="宋体" w:cs="Times New Roman"/>
      <w:kern w:val="2"/>
      <w:sz w:val="21"/>
      <w:szCs w:val="22"/>
      <w:lang w:val="en-US" w:eastAsia="zh-CN" w:bidi="ar-SA"/>
    </w:rPr>
  </w:style>
  <w:style w:type="paragraph" w:customStyle="1" w:styleId="9">
    <w:name w:val="三级目录"/>
    <w:next w:val="8"/>
    <w:qFormat/>
    <w:uiPriority w:val="99"/>
    <w:pPr>
      <w:ind w:firstLine="420" w:firstLineChars="150"/>
    </w:pPr>
    <w:rPr>
      <w:rFonts w:ascii="Times New Roman" w:hAnsi="Times New Roman" w:eastAsia="宋体" w:cs="Times New Roman"/>
      <w:b/>
      <w:bCs/>
      <w:kern w:val="2"/>
      <w:sz w:val="24"/>
      <w:szCs w:val="24"/>
      <w:lang w:val="en-US" w:eastAsia="zh-CN" w:bidi="ar-SA"/>
    </w:rPr>
  </w:style>
  <w:style w:type="paragraph" w:styleId="10">
    <w:name w:val="List Paragraph"/>
    <w:basedOn w:val="11"/>
    <w:unhideWhenUsed/>
    <w:uiPriority w:val="99"/>
    <w:pPr>
      <w:ind w:firstLine="420" w:firstLineChars="200"/>
    </w:pPr>
  </w:style>
  <w:style w:type="paragraph" w:customStyle="1" w:styleId="11">
    <w:name w:val="正文_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2">
    <w:name w:val="正文_1_0"/>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2020-04-28T11:51:00Z</dcterms:created>
  <dc:creator>目标+</dc:creator>
  <cp:lastModifiedBy>张璘</cp:lastModifiedBy>
  <dcterms:modified xsi:type="dcterms:W3CDTF">2020-04-29T02:30:42Z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